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FB3CAF" w:rsidR="00A24FFC" w:rsidP="00FB3CAF" w:rsidRDefault="00E87601" w14:paraId="6C6EB4F3" w14:textId="30BD0CDD">
      <w:pPr>
        <w:pStyle w:val="1"/>
        <w:spacing w:line="360" w:lineRule="exact"/>
        <w:rPr>
          <w:rFonts w:ascii="新細明體" w:hAnsi="新細明體" w:eastAsia="新細明體" w:cs="新細明體"/>
          <w:color w:val="000000"/>
        </w:rPr>
      </w:pPr>
      <w:bookmarkStart w:name="Std_Type2" w:id="0"/>
      <w:r w:rsidRPr="00F6439B">
        <w:rPr>
          <w:rFonts w:hint="eastAsia" w:ascii="新細明體" w:hAnsi="新細明體" w:eastAsia="新細明體" w:cs="新細明體"/>
          <w:color w:val="000000"/>
        </w:rPr>
        <w:t>證券商內部控制制度標準規範</w:t>
      </w:r>
      <w:bookmarkEnd w:id="0"/>
      <w:proofErr w:type="gramStart"/>
      <w:r w:rsidRPr="00F6439B">
        <w:rPr>
          <w:rFonts w:hint="eastAsia" w:ascii="新細明體" w:hAnsi="新細明體" w:eastAsia="新細明體" w:cs="新細明體"/>
          <w:color w:val="000000"/>
        </w:rPr>
        <w:t>─</w:t>
      </w:r>
      <w:proofErr w:type="gramEnd"/>
      <w:r w:rsidRPr="00D93714" w:rsidR="00D93714">
        <w:rPr>
          <w:rFonts w:hint="eastAsia" w:ascii="新細明體" w:hAnsi="新細明體" w:eastAsia="新細明體" w:cs="新細明體"/>
          <w:color w:val="000000"/>
        </w:rPr>
        <w:t>內部稽核實施細則</w:t>
      </w:r>
      <w:r w:rsidRPr="00F6439B">
        <w:rPr>
          <w:rFonts w:hint="eastAsia" w:ascii="新細明體" w:hAnsi="新細明體" w:eastAsia="新細明體" w:cs="新細明體"/>
          <w:color w:val="000000"/>
        </w:rPr>
        <w:t>修</w:t>
      </w:r>
      <w:r w:rsidRPr="00F6439B" w:rsidR="00D25C08">
        <w:rPr>
          <w:rFonts w:hint="eastAsia" w:ascii="新細明體" w:hAnsi="新細明體" w:eastAsia="新細明體" w:cs="新細明體"/>
          <w:color w:val="000000"/>
        </w:rPr>
        <w:t>正</w:t>
      </w:r>
      <w:r w:rsidRPr="00F6439B">
        <w:rPr>
          <w:rFonts w:hint="eastAsia" w:ascii="新細明體" w:hAnsi="新細明體" w:eastAsia="新細明體" w:cs="新細明體"/>
          <w:color w:val="000000"/>
        </w:rPr>
        <w:t>對照表</w:t>
      </w:r>
      <w:bookmarkStart w:name="Article_Eff_Date" w:id="1"/>
      <w:r w:rsidRPr="0031289E" w:rsidR="0031289E">
        <w:rPr>
          <w:rFonts w:hint="eastAsia" w:ascii="新細明體" w:hAnsi="新細明體" w:eastAsia="新細明體" w:cs="新細明體"/>
          <w:color w:val="000000"/>
        </w:rPr>
        <w:t>草案</w:t>
      </w:r>
      <w:bookmarkEnd w:id="1"/>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384"/>
        <w:gridCol w:w="1276"/>
        <w:gridCol w:w="5386"/>
        <w:gridCol w:w="5387"/>
        <w:gridCol w:w="2023"/>
      </w:tblGrid>
      <w:tr w:rsidRPr="00F6439B" w:rsidR="001E533B" w:rsidTr="004A29F0" w14:paraId="5B8288D9" w14:textId="77777777">
        <w:trPr>
          <w:tblHeader/>
        </w:trPr>
        <w:tc>
          <w:tcPr>
            <w:tcW w:w="1384" w:type="dxa"/>
            <w:tcBorders>
              <w:top w:val="single" w:color="auto" w:sz="12" w:space="0"/>
              <w:left w:val="single" w:color="auto" w:sz="12" w:space="0"/>
              <w:bottom w:val="single" w:color="auto" w:sz="12" w:space="0"/>
            </w:tcBorders>
            <w:shd w:val="clear" w:color="auto" w:fill="auto"/>
          </w:tcPr>
          <w:p w:rsidRPr="00F6439B" w:rsidR="001E533B" w:rsidP="00F6439B" w:rsidRDefault="00FB3CAF" w14:paraId="6E20BAD9" w14:textId="77777777">
            <w:pPr>
              <w:jc w:val="center"/>
              <w:rPr>
                <w:rFonts w:ascii="新細明體" w:hAnsi="新細明體" w:eastAsia="新細明體"/>
              </w:rPr>
            </w:pPr>
            <w:r w:rsidRPr="00F6439B">
              <w:rPr>
                <w:rFonts w:hint="eastAsia" w:ascii="新細明體" w:hAnsi="新細明體" w:eastAsia="新細明體"/>
              </w:rPr>
              <w:t>編號</w:t>
            </w:r>
          </w:p>
        </w:tc>
        <w:tc>
          <w:tcPr>
            <w:tcW w:w="1276" w:type="dxa"/>
            <w:tcBorders>
              <w:top w:val="single" w:color="auto" w:sz="12" w:space="0"/>
              <w:bottom w:val="single" w:color="auto" w:sz="12" w:space="0"/>
            </w:tcBorders>
            <w:shd w:val="clear" w:color="auto" w:fill="auto"/>
          </w:tcPr>
          <w:p w:rsidRPr="00F6439B" w:rsidR="00A24FFC" w:rsidP="001E533B" w:rsidRDefault="001E533B" w14:paraId="78ACF850" w14:textId="77777777">
            <w:pPr>
              <w:rPr>
                <w:rFonts w:ascii="新細明體" w:hAnsi="新細明體" w:eastAsia="新細明體"/>
              </w:rPr>
            </w:pPr>
            <w:r w:rsidRPr="00F6439B">
              <w:rPr>
                <w:rFonts w:hint="eastAsia" w:ascii="新細明體" w:hAnsi="新細明體" w:eastAsia="新細明體"/>
              </w:rPr>
              <w:t>作業項目</w:t>
            </w:r>
          </w:p>
        </w:tc>
        <w:tc>
          <w:tcPr>
            <w:tcW w:w="5386" w:type="dxa"/>
            <w:tcBorders>
              <w:top w:val="single" w:color="auto" w:sz="12" w:space="0"/>
              <w:bottom w:val="single" w:color="auto" w:sz="12" w:space="0"/>
            </w:tcBorders>
            <w:shd w:val="clear" w:color="auto" w:fill="auto"/>
          </w:tcPr>
          <w:p w:rsidRPr="00F6439B" w:rsidR="00A24FFC" w:rsidP="00F6439B" w:rsidRDefault="001E533B" w14:paraId="1EBEFB0B" w14:textId="77777777">
            <w:pPr>
              <w:jc w:val="center"/>
              <w:rPr>
                <w:rFonts w:ascii="新細明體" w:hAnsi="新細明體" w:eastAsia="新細明體"/>
              </w:rPr>
            </w:pPr>
            <w:r w:rsidRPr="00F6439B">
              <w:rPr>
                <w:rFonts w:hint="eastAsia" w:ascii="新細明體" w:hAnsi="新細明體" w:eastAsia="新細明體" w:cs="新細明體"/>
                <w:color w:val="000000"/>
              </w:rPr>
              <w:t>修正後內容</w:t>
            </w:r>
          </w:p>
        </w:tc>
        <w:tc>
          <w:tcPr>
            <w:tcW w:w="5387" w:type="dxa"/>
            <w:tcBorders>
              <w:top w:val="single" w:color="auto" w:sz="12" w:space="0"/>
              <w:bottom w:val="single" w:color="auto" w:sz="12" w:space="0"/>
            </w:tcBorders>
            <w:shd w:val="clear" w:color="auto" w:fill="auto"/>
          </w:tcPr>
          <w:p w:rsidRPr="00F6439B" w:rsidR="00A24FFC" w:rsidP="00F6439B" w:rsidRDefault="001E533B" w14:paraId="1FB190B7" w14:textId="77777777">
            <w:pPr>
              <w:jc w:val="center"/>
              <w:rPr>
                <w:rFonts w:ascii="新細明體" w:hAnsi="新細明體" w:eastAsia="新細明體"/>
              </w:rPr>
            </w:pPr>
            <w:r w:rsidRPr="00F6439B">
              <w:rPr>
                <w:rFonts w:hint="eastAsia" w:ascii="新細明體" w:hAnsi="新細明體" w:eastAsia="新細明體" w:cs="新細明體"/>
                <w:color w:val="000000"/>
              </w:rPr>
              <w:t>修正前內容</w:t>
            </w:r>
          </w:p>
        </w:tc>
        <w:tc>
          <w:tcPr>
            <w:tcW w:w="2023" w:type="dxa"/>
            <w:tcBorders>
              <w:top w:val="single" w:color="auto" w:sz="12" w:space="0"/>
              <w:bottom w:val="single" w:color="auto" w:sz="12" w:space="0"/>
              <w:right w:val="single" w:color="auto" w:sz="12" w:space="0"/>
            </w:tcBorders>
            <w:shd w:val="clear" w:color="auto" w:fill="auto"/>
          </w:tcPr>
          <w:p w:rsidRPr="00F6439B" w:rsidR="00A24FFC" w:rsidP="00F6439B" w:rsidRDefault="00C904D3" w14:paraId="7A098D66" w14:textId="77777777">
            <w:pPr>
              <w:jc w:val="center"/>
              <w:rPr>
                <w:rFonts w:ascii="新細明體" w:hAnsi="新細明體" w:eastAsia="新細明體"/>
              </w:rPr>
            </w:pPr>
            <w:r w:rsidRPr="00F6439B">
              <w:rPr>
                <w:rFonts w:hint="eastAsia" w:ascii="新細明體" w:hAnsi="新細明體" w:eastAsia="新細明體" w:cs="新細明體"/>
                <w:color w:val="000000"/>
              </w:rPr>
              <w:t>修正說明</w:t>
            </w:r>
          </w:p>
        </w:tc>
      </w:tr>
      <w:tr w:rsidRPr="00F6439B" w:rsidR="003B3105" w14:paraId="6F801B14" w14:textId="77777777">
        <w:tc>
          <w:tcPr>
            <w:tcW w:w="1384" w:type="dxa"/>
            <w:vMerge w:val="restart"/>
            <w:tcBorders>
              <w:top w:val="single" w:color="auto" w:sz="12" w:space="0"/>
              <w:left w:val="single" w:color="auto" w:sz="12" w:space="0"/>
            </w:tcBorders>
            <w:shd w:val="clear" w:color="auto" w:fill="auto"/>
          </w:tcPr>
          <w:p w:rsidRPr="00F6439B" w:rsidR="003B3105" w:rsidP="001E533B" w:rsidRDefault="003B3105" w14:paraId="39C8E458" w14:textId="3C93645F">
            <w:pPr>
              <w:rPr>
                <w:rFonts w:ascii="新細明體" w:hAnsi="新細明體" w:eastAsia="新細明體"/>
              </w:rPr>
            </w:pPr>
            <w:r>
              <w:rPr>
                <w:rFonts w:hint="eastAsia" w:ascii="新細明體" w:hAnsi="新細明體" w:eastAsia="新細明體"/>
              </w:rPr>
              <w:t>AA-11140</w:t>
            </w:r>
          </w:p>
        </w:tc>
        <w:tc>
          <w:tcPr>
            <w:tcW w:w="1276" w:type="dxa"/>
            <w:vMerge w:val="restart"/>
            <w:tcBorders>
              <w:top w:val="single" w:color="auto" w:sz="12" w:space="0"/>
            </w:tcBorders>
            <w:shd w:val="clear" w:color="auto" w:fill="auto"/>
          </w:tcPr>
          <w:p w:rsidRPr="00F6439B" w:rsidR="003B3105" w:rsidP="001E533B" w:rsidRDefault="003B3105" w14:paraId="6AECD2F1" w14:textId="77777777">
            <w:pPr>
              <w:rPr>
                <w:rFonts w:ascii="新細明體" w:hAnsi="新細明體" w:eastAsia="新細明體"/>
              </w:rPr>
            </w:pPr>
            <w:r>
              <w:rPr>
                <w:rFonts w:hint="eastAsia" w:ascii="新細明體" w:hAnsi="新細明體" w:eastAsia="新細明體"/>
              </w:rPr>
              <w:t>客戶帳戶之管理作業之稽核</w:t>
            </w:r>
          </w:p>
          <w:p w:rsidRPr="00F6439B" w:rsidR="003B3105" w:rsidP="001E533B" w:rsidRDefault="003B3105" w14:paraId="6AECD2F1" w14:textId="77777777">
            <w:pPr>
              <w:rPr>
                <w:rFonts w:ascii="新細明體" w:hAnsi="新細明體" w:eastAsia="新細明體"/>
              </w:rPr>
            </w:pPr>
            <w:r>
              <w:rPr>
                <w:rFonts w:hint="eastAsia" w:ascii="新細明體" w:hAnsi="新細明體" w:eastAsia="新細明體"/>
              </w:rPr>
              <w:t>目的：</w:t>
            </w:r>
          </w:p>
          <w:p w:rsidRPr="00F6439B" w:rsidR="003B3105" w:rsidP="001E533B" w:rsidRDefault="003B3105" w14:paraId="6AECD2F1" w14:textId="77777777">
            <w:pPr>
              <w:rPr>
                <w:rFonts w:ascii="新細明體" w:hAnsi="新細明體" w:eastAsia="新細明體"/>
              </w:rPr>
            </w:pPr>
            <w:r>
              <w:rPr>
                <w:rFonts w:hint="eastAsia" w:ascii="新細明體" w:hAnsi="新細明體" w:eastAsia="新細明體"/>
              </w:rPr>
              <w:t>確定上述作業是否符合規定辦理</w:t>
            </w:r>
          </w:p>
        </w:tc>
        <w:tc>
          <w:tcPr>
            <w:tcW w:w="5386" w:type="dxa"/>
            <w:tcBorders>
              <w:top w:val="single" w:color="auto" w:sz="12" w:space="0"/>
              <w:bottom w:val="nil"/>
            </w:tcBorders>
            <w:shd w:val="clear" w:color="auto" w:fill="auto"/>
          </w:tcPr>
          <w:p w:rsidRPr="003B3105" w:rsidR="003B3105" w:rsidP="003B3105" w:rsidRDefault="003B3105" w14:paraId="1A6552A0" w14:textId="77777777">
            <w:pPr>
              <w:spacing w:line="360" w:lineRule="exact"/>
              <w:rPr>
                <w:rFonts w:ascii="新細明體" w:hAnsi="新細明體" w:eastAsia="新細明體" w:cs="Times New Roman"/>
              </w:rPr>
            </w:pPr>
            <w:r w:rsidRPr="00F6439B">
              <w:rPr>
                <w:rFonts w:hint="eastAsia" w:ascii="新細明體" w:hAnsi="新細明體" w:eastAsia="新細明體" w:cs="新細明體"/>
              </w:rPr>
              <w:t>不定期（每月至少查核乙次）</w:t>
            </w:r>
          </w:p>
        </w:tc>
        <w:tc>
          <w:tcPr>
            <w:tcW w:w="5387" w:type="dxa"/>
            <w:tcBorders>
              <w:top w:val="single" w:color="auto" w:sz="12" w:space="0"/>
              <w:bottom w:val="nil"/>
            </w:tcBorders>
            <w:shd w:val="clear" w:color="auto" w:fill="auto"/>
          </w:tcPr>
          <w:p w:rsidRPr="003B3105" w:rsidR="003B3105" w:rsidP="003B3105" w:rsidRDefault="003B3105" w14:paraId="3C1F8D55" w14:textId="77777777">
            <w:pPr>
              <w:spacing w:line="360" w:lineRule="exact"/>
              <w:rPr>
                <w:rFonts w:ascii="新細明體" w:hAnsi="新細明體" w:eastAsia="新細明體" w:cs="Times New Roman"/>
              </w:rPr>
            </w:pPr>
            <w:r w:rsidRPr="00F6439B">
              <w:rPr>
                <w:rFonts w:hint="eastAsia" w:ascii="新細明體" w:hAnsi="新細明體" w:eastAsia="新細明體" w:cs="新細明體"/>
              </w:rPr>
              <w:t>不定期（每月至少查核乙次）</w:t>
            </w:r>
          </w:p>
        </w:tc>
        <w:tc>
          <w:tcPr>
            <w:tcW w:w="2023" w:type="dxa"/>
            <w:vMerge w:val="restart"/>
            <w:tcBorders>
              <w:top w:val="single" w:color="auto" w:sz="12" w:space="0"/>
              <w:right w:val="single" w:color="auto" w:sz="12" w:space="0"/>
            </w:tcBorders>
            <w:shd w:val="clear" w:color="auto" w:fill="auto"/>
          </w:tcPr>
          <w:p w:rsidRPr="00F6439B" w:rsidR="003B3105" w:rsidP="003B3105" w:rsidRDefault="003B3105" w14:paraId="217DBB1D" w14:textId="77777777">
            <w:pPr>
              <w:spacing w:line="360" w:lineRule="exact"/>
              <w:ind w:left="28" w:right="28"/>
              <w:rPr>
                <w:rFonts w:ascii="新細明體" w:hAnsi="新細明體" w:eastAsia="新細明體"/>
              </w:rPr>
            </w:pPr>
            <w:r>
              <w:rPr>
                <w:rFonts w:hint="eastAsia" w:ascii="新細明體" w:hAnsi="新細明體" w:eastAsia="新細明體" w:cs="Times New Roman"/>
                <w:color w:val="FF0000"/>
                <w:spacing w:val="20"/>
                <w:szCs w:val="20"/>
                <w:u w:val="single"/>
              </w:rPr>
              <w:t>配合內部控制制度CA-11140修正。</w:t>
            </w: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165"/>
            </w:pPr>
            <w:r>
              <w:rPr>
                <w:rFonts w:hint="eastAsia" w:ascii="新細明體" w:hAnsi="新細明體" w:eastAsia="新細明體" w:cs="新細明體"/>
              </w:rPr>
              <w:t>(一)</w:t>
            </w:r>
            <w:r>
              <w:rPr>
                <w:rFonts w:hint="eastAsia" w:ascii="新細明體" w:hAnsi="新細明體" w:eastAsia="新細明體" w:cs="新細明體"/>
              </w:rPr>
              <w:t>(刪除)</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165"/>
            </w:pPr>
            <w:r>
              <w:rPr>
                <w:rFonts w:hint="eastAsia" w:ascii="新細明體" w:hAnsi="新細明體" w:eastAsia="新細明體" w:cs="新細明體"/>
              </w:rPr>
              <w:t>(一)</w:t>
            </w:r>
            <w:r>
              <w:rPr>
                <w:rFonts w:hint="eastAsia" w:ascii="新細明體" w:hAnsi="新細明體" w:eastAsia="新細明體" w:cs="新細明體"/>
              </w:rPr>
              <w:t>(刪除)</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165"/>
            </w:pPr>
            <w:r>
              <w:rPr>
                <w:rFonts w:hint="eastAsia" w:ascii="新細明體" w:hAnsi="新細明體" w:eastAsia="新細明體" w:cs="新細明體"/>
              </w:rPr>
              <w:t>(二)</w:t>
            </w:r>
            <w:r>
              <w:rPr>
                <w:rFonts w:hint="eastAsia" w:ascii="新細明體" w:hAnsi="新細明體" w:eastAsia="新細明體" w:cs="新細明體"/>
              </w:rPr>
              <w:t>客戶基本資料變更作業：</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165"/>
            </w:pPr>
            <w:r>
              <w:rPr>
                <w:rFonts w:hint="eastAsia" w:ascii="新細明體" w:hAnsi="新細明體" w:eastAsia="新細明體" w:cs="新細明體"/>
              </w:rPr>
              <w:t>(二)</w:t>
            </w:r>
            <w:r>
              <w:rPr>
                <w:rFonts w:hint="eastAsia" w:ascii="新細明體" w:hAnsi="新細明體" w:eastAsia="新細明體" w:cs="新細明體"/>
              </w:rPr>
              <w:t>客戶基本資料變更作業：</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1.</w:t>
            </w:r>
            <w:r>
              <w:rPr>
                <w:rFonts w:hint="eastAsia" w:ascii="新細明體" w:hAnsi="新細明體" w:eastAsia="新細明體" w:cs="新細明體"/>
              </w:rPr>
              <w:t>客戶基本資料或輔助性資料變更時，是否同時更正開戶契約及電腦資料，並詳予核對有無錯誤及及留存覆核紀錄。</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1.</w:t>
            </w:r>
            <w:r>
              <w:rPr>
                <w:rFonts w:hint="eastAsia" w:ascii="新細明體" w:hAnsi="新細明體" w:eastAsia="新細明體" w:cs="新細明體"/>
              </w:rPr>
              <w:t>客戶基本資料或輔助性資料變更時，是否同時更正開戶契約及電腦資料，並詳予核對有無錯誤及及留存覆核紀錄。</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2.</w:t>
            </w:r>
            <w:r>
              <w:rPr>
                <w:rFonts w:hint="eastAsia" w:ascii="新細明體" w:hAnsi="新細明體" w:eastAsia="新細明體" w:cs="新細明體"/>
              </w:rPr>
              <w:t>更改姓名及身分證統一編號者，是否檢具證明文件。</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2.</w:t>
            </w:r>
            <w:r>
              <w:rPr>
                <w:rFonts w:hint="eastAsia" w:ascii="新細明體" w:hAnsi="新細明體" w:eastAsia="新細明體" w:cs="新細明體"/>
              </w:rPr>
              <w:t>更改姓名及身分證統一編號者，是否檢具證明文件。</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3.</w:t>
            </w:r>
            <w:r>
              <w:rPr>
                <w:rFonts w:hint="eastAsia" w:ascii="新細明體" w:hAnsi="新細明體" w:eastAsia="新細明體" w:cs="新細明體"/>
              </w:rPr>
              <w:t>更改姓名者是否通知交割部門更新印鑑卡。</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3.</w:t>
            </w:r>
            <w:r>
              <w:rPr>
                <w:rFonts w:hint="eastAsia" w:ascii="新細明體" w:hAnsi="新細明體" w:eastAsia="新細明體" w:cs="新細明體"/>
              </w:rPr>
              <w:t>更改姓名者是否通知交割部門更新印鑑卡。</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4.</w:t>
            </w:r>
            <w:r>
              <w:rPr>
                <w:rFonts w:hint="eastAsia" w:ascii="新細明體" w:hAnsi="新細明體" w:eastAsia="新細明體" w:cs="新細明體"/>
              </w:rPr>
              <w:t>客戶如欲申請變更交割留存印鑑或簽名樣式，是否由其本人親持身分證並填具「委託人變更交割留存印鑑申請書」，經承辦人員核對無誤後（核對範圍應涵蓋原開戶基本資料）始得辦理。</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4.</w:t>
            </w:r>
            <w:r>
              <w:rPr>
                <w:rFonts w:hint="eastAsia" w:ascii="新細明體" w:hAnsi="新細明體" w:eastAsia="新細明體" w:cs="新細明體"/>
              </w:rPr>
              <w:t>客戶如欲申請變更交割留存印鑑或簽名樣式，是否由其本人親持身分證並填具「委託人變更交割留存印鑑申請書」，經承辦人員核對無誤後（核對範圍應涵蓋原開戶基本資料）始得辦理。</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5.</w:t>
            </w:r>
            <w:r>
              <w:rPr>
                <w:rFonts w:hint="eastAsia" w:ascii="新細明體" w:hAnsi="新細明體" w:eastAsia="新細明體" w:cs="新細明體"/>
              </w:rPr>
              <w:t>客戶以非當面方式申請辦理變更戶籍地址，公司是否於收到下列資料後，是向客戶查證無誤方辦理變更：</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5.</w:t>
            </w:r>
            <w:r>
              <w:rPr>
                <w:rFonts w:hint="eastAsia" w:ascii="新細明體" w:hAnsi="新細明體" w:eastAsia="新細明體" w:cs="新細明體"/>
              </w:rPr>
              <w:t>客戶以非當面方式申請辦理變更戶籍地址，公司是否於收到下列資料後，是向客戶查證無誤方辦理變更：</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(1)</w:t>
            </w:r>
            <w:r>
              <w:rPr>
                <w:rFonts w:hint="eastAsia" w:ascii="新細明體" w:hAnsi="新細明體" w:eastAsia="新細明體" w:cs="新細明體"/>
              </w:rPr>
              <w:t>客戶以通訊方式申請者：公司是否取得客戶身分證正反面影本，或戶政單位製發載明戶籍地址變更之新式戶口名簿影本，或其他有相同效力之證明文件，並於上開影本或文件空白處親自簽章。</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(1)</w:t>
            </w:r>
            <w:r>
              <w:rPr>
                <w:rFonts w:hint="eastAsia" w:ascii="新細明體" w:hAnsi="新細明體" w:eastAsia="新細明體" w:cs="新細明體"/>
              </w:rPr>
              <w:t>客戶以通訊方式申請者：公司是否取得客戶身分證正反面影本，或戶政單位製發載明戶籍地址變更之新式戶口名簿影本，或其他有相同效力之證明文件，並於上開影本或文件空白處親自簽章。</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(2)</w:t>
            </w:r>
            <w:r>
              <w:rPr>
                <w:rFonts w:hint="eastAsia" w:ascii="新細明體" w:hAnsi="新細明體" w:eastAsia="新細明體" w:cs="新細明體"/>
              </w:rPr>
              <w:t>客戶以線上方式申請者：公司是否依CA-11140客戶帳戶之管理作業(九)規定確認客戶身分，並取得其可清晰辨識國民身分證之正反面影像，或戶政單位製發載明戶籍地址變更之新式戶口名簿影像，或其他有相同效力之證明文件影像。</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(2)</w:t>
            </w:r>
            <w:r>
              <w:rPr>
                <w:rFonts w:hint="eastAsia" w:ascii="新細明體" w:hAnsi="新細明體" w:eastAsia="新細明體" w:cs="新細明體"/>
              </w:rPr>
              <w:t>客戶以線上方式申請者：公司是否依CA-11140客戶帳戶之管理作業(九)規定確認客戶身分，並取得其可清晰辨識國民身分證之正反面影像，或戶政單位製發載明戶籍地址變更之新式戶口名簿影像，或其他有相同效力之證明文件影像。</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165"/>
            </w:pPr>
            <w:r>
              <w:rPr>
                <w:rFonts w:hint="eastAsia" w:ascii="新細明體" w:hAnsi="新細明體" w:eastAsia="新細明體" w:cs="新細明體"/>
              </w:rPr>
              <w:t>(三)</w:t>
            </w:r>
            <w:r>
              <w:rPr>
                <w:rFonts w:hint="eastAsia" w:ascii="新細明體" w:hAnsi="新細明體" w:eastAsia="新細明體" w:cs="新細明體"/>
              </w:rPr>
              <w:t>違約案件之公告是否建檔，期滿或結案之違約案件經證交所(櫃檯買賣中心)轉知或通報證交所(櫃檯買賣中心)後，是否更新檔案。</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165"/>
            </w:pPr>
            <w:r>
              <w:rPr>
                <w:rFonts w:hint="eastAsia" w:ascii="新細明體" w:hAnsi="新細明體" w:eastAsia="新細明體" w:cs="新細明體"/>
              </w:rPr>
              <w:t>(三)</w:t>
            </w:r>
            <w:r>
              <w:rPr>
                <w:rFonts w:hint="eastAsia" w:ascii="新細明體" w:hAnsi="新細明體" w:eastAsia="新細明體" w:cs="新細明體"/>
              </w:rPr>
              <w:t>違約案件之公告是否建檔，期滿或結案之違約案件經證交所(櫃檯買賣中心)轉知或通報證交所(櫃檯買賣中心)後，是否更新檔案。</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165"/>
            </w:pPr>
            <w:r>
              <w:rPr>
                <w:rFonts w:hint="eastAsia" w:ascii="新細明體" w:hAnsi="新細明體" w:eastAsia="新細明體" w:cs="新細明體"/>
              </w:rPr>
              <w:t>(四)</w:t>
            </w:r>
            <w:r>
              <w:rPr>
                <w:rFonts w:hint="eastAsia" w:ascii="新細明體" w:hAnsi="新細明體" w:eastAsia="新細明體" w:cs="新細明體"/>
              </w:rPr>
              <w:t>註銷帳戶是否依規定程序辦理。</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165"/>
            </w:pPr>
            <w:r>
              <w:rPr>
                <w:rFonts w:hint="eastAsia" w:ascii="新細明體" w:hAnsi="新細明體" w:eastAsia="新細明體" w:cs="新細明體"/>
              </w:rPr>
              <w:t>(四)</w:t>
            </w:r>
            <w:r>
              <w:rPr>
                <w:rFonts w:hint="eastAsia" w:ascii="新細明體" w:hAnsi="新細明體" w:eastAsia="新細明體" w:cs="新細明體"/>
              </w:rPr>
              <w:t>註銷帳戶是否依規定程序辦理。</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165"/>
            </w:pPr>
            <w:r>
              <w:rPr>
                <w:rFonts w:hint="eastAsia" w:ascii="新細明體" w:hAnsi="新細明體" w:eastAsia="新細明體" w:cs="新細明體"/>
              </w:rPr>
              <w:t>(五)</w:t>
            </w:r>
            <w:r>
              <w:rPr>
                <w:rFonts w:hint="eastAsia" w:ascii="新細明體" w:hAnsi="新細明體" w:eastAsia="新細明體" w:cs="新細明體"/>
              </w:rPr>
              <w:t>對帳單寄送與查對紀錄作業：</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165"/>
            </w:pPr>
            <w:r>
              <w:rPr>
                <w:rFonts w:hint="eastAsia" w:ascii="新細明體" w:hAnsi="新細明體" w:eastAsia="新細明體" w:cs="新細明體"/>
              </w:rPr>
              <w:t>(五)</w:t>
            </w:r>
            <w:r>
              <w:rPr>
                <w:rFonts w:hint="eastAsia" w:ascii="新細明體" w:hAnsi="新細明體" w:eastAsia="新細明體" w:cs="新細明體"/>
              </w:rPr>
              <w:t>對帳單寄送與查對紀錄作業：</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1.</w:t>
            </w:r>
            <w:r>
              <w:rPr>
                <w:rFonts w:hint="eastAsia" w:ascii="新細明體" w:hAnsi="新細明體" w:eastAsia="新細明體" w:cs="新細明體"/>
              </w:rPr>
              <w:t>依郵局大宗函件寄送資料及簽收紀錄查核對帳單是否於規定期限分送客戶。</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1.</w:t>
            </w:r>
            <w:r>
              <w:rPr>
                <w:rFonts w:hint="eastAsia" w:ascii="新細明體" w:hAnsi="新細明體" w:eastAsia="新細明體" w:cs="新細明體"/>
              </w:rPr>
              <w:t>依郵局大宗函件寄送資料及簽收紀錄查核對帳單是否於規定期限分送客戶。</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2.</w:t>
            </w:r>
            <w:r>
              <w:rPr>
                <w:rFonts w:hint="eastAsia" w:ascii="新細明體" w:hAnsi="新細明體" w:eastAsia="新細明體" w:cs="新細明體"/>
              </w:rPr>
              <w:t>客戶自取部分是否留有簽收紀錄。但以不可改寫之電子儲存媒體（如光碟）替代紙本對帳單（含月成交金額達5千萬元以上者）派員送達保管機構（保管銀行）者，是否將保管機構（保管銀行）簽收清冊留存備查。</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2.</w:t>
            </w:r>
            <w:r>
              <w:rPr>
                <w:rFonts w:hint="eastAsia" w:ascii="新細明體" w:hAnsi="新細明體" w:eastAsia="新細明體" w:cs="新細明體"/>
              </w:rPr>
              <w:t>客戶自取部分是否留有簽收紀錄。但以不可改寫之電子儲存媒體（如光碟）替代紙本對帳單（含月成交金額達5千萬元以上者）派員送達保管機構（保管銀行）者，是否將保管機構（保管銀行）簽收清冊留存備查。</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3.</w:t>
            </w:r>
            <w:r>
              <w:rPr>
                <w:rFonts w:hint="eastAsia" w:ascii="新細明體" w:hAnsi="新細明體" w:eastAsia="新細明體" w:cs="新細明體"/>
              </w:rPr>
              <w:t>公司如已建立網路認證機制，並取得網路認證機構電子簽章之客戶本人同意後，以手機簡訊、公司行動裝置應用軟體(APP)寄送對帳單及詢證信函者，其訊息內容、申請程序、寄送方式是否依112年5月4日臺證輔字第1120007082號函規定辦理。</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3.</w:t>
            </w:r>
            <w:r>
              <w:rPr>
                <w:rFonts w:hint="eastAsia" w:ascii="新細明體" w:hAnsi="新細明體" w:eastAsia="新細明體" w:cs="新細明體"/>
              </w:rPr>
              <w:t>公司如已建立網路認證機制，並取得網路認證機構電子簽章之客戶本人同意後，以手機簡訊、公司行動裝置應用軟體(APP)寄送對帳單及詢證信函者，其訊息內容、申請程序、寄送方式是否依112年5月4日臺證輔字第1120007082號函規定辦理。</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4.</w:t>
            </w:r>
            <w:r>
              <w:rPr>
                <w:rFonts w:hint="eastAsia" w:ascii="新細明體" w:hAnsi="新細明體" w:eastAsia="新細明體" w:cs="新細明體"/>
              </w:rPr>
              <w:t>對當月成交金額達一定金額(目前為五千萬元)以上之客戶買賣對帳單之寄送與查對是否依照公司內部控制制度之規定辦理：</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4.</w:t>
            </w:r>
            <w:r>
              <w:rPr>
                <w:rFonts w:hint="eastAsia" w:ascii="新細明體" w:hAnsi="新細明體" w:eastAsia="新細明體" w:cs="新細明體"/>
              </w:rPr>
              <w:t>對當月成交金額達一定金額(目前為五千萬元)以上之客戶買賣對帳單之寄送與查對是否依照公司內部控制制度之規定辦理：</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(1)</w:t>
            </w:r>
            <w:r>
              <w:rPr>
                <w:rFonts w:hint="eastAsia" w:ascii="新細明體" w:hAnsi="新細明體" w:eastAsia="新細明體" w:cs="新細明體"/>
              </w:rPr>
              <w:t>買賣對帳單是否以掛號函送戶籍地址。（若已經公司採適當確認措施，例如客戶本人親自申請且經公司照相或錄影存證者，無須再以掛號寄送對帳單）</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(1)</w:t>
            </w:r>
            <w:r>
              <w:rPr>
                <w:rFonts w:hint="eastAsia" w:ascii="新細明體" w:hAnsi="新細明體" w:eastAsia="新細明體" w:cs="新細明體"/>
              </w:rPr>
              <w:t>買賣對帳單是否以掛號函送戶籍地址。（若已經公司採適當確認措施，例如客戶本人親自申請且經公司照相或錄影存證者，無須再以掛號寄送對帳單）</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(2)</w:t>
            </w:r>
            <w:r>
              <w:rPr>
                <w:rFonts w:hint="eastAsia" w:ascii="新細明體" w:hAnsi="新細明體" w:eastAsia="新細明體" w:cs="新細明體"/>
              </w:rPr>
              <w:t>另至少抽查其中「百分之二十」之樣本數（未滿一戶者以一戶計），或二十戶，向戶籍地址寄發買賣對帳單寄達詢證函（但當年已列為抽查對象且該客戶亦函復確認無誤者，得免再列入樣本抽查）。但依客戶請求，並採取適當確認措施經簽報總經理(分公司得為分公司經理人)</w:t>
            </w:r>
            <w:r>
              <w:rPr>
                <w:rFonts w:hint="eastAsia" w:ascii="新細明體" w:hAnsi="新細明體" w:eastAsia="新細明體" w:cs="新細明體"/>
                <w:b/>
                <w:u w:val="single"/>
                <w:color w:val="FF0000 "/>
              </w:rPr>
              <w:t>或總經理指派之權責主管</w:t>
            </w:r>
            <w:r>
              <w:rPr>
                <w:rFonts w:hint="eastAsia" w:ascii="新細明體" w:hAnsi="新細明體" w:eastAsia="新細明體" w:cs="新細明體"/>
              </w:rPr>
              <w:t>核准者，得寄至客戶指定之地址。</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(2)</w:t>
            </w:r>
            <w:r>
              <w:rPr>
                <w:rFonts w:hint="eastAsia" w:ascii="新細明體" w:hAnsi="新細明體" w:eastAsia="新細明體" w:cs="新細明體"/>
              </w:rPr>
              <w:t>另至少抽查其中「百分之二十」之樣本數（未滿一戶者以一戶計），或二十戶，向戶籍地址寄發買賣對帳單寄達詢證函（但當年已列為抽查對象且該客戶亦函復確認無誤者，得免再列入樣本抽查）。但依客戶請求，並採取適當確認措施經簽報總經理(分公司得為分公司經理人)核准者，得寄至客戶指定之地址。</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(3)</w:t>
            </w:r>
            <w:r>
              <w:rPr>
                <w:rFonts w:hint="eastAsia" w:ascii="新細明體" w:hAnsi="新細明體" w:eastAsia="新細明體" w:cs="新細明體"/>
              </w:rPr>
              <w:t>買賣對帳單及前項寄達詢證函如未能寄達及未覆函者是否查明原因並簽報總經理(分公司得為分公司經理人)</w:t>
            </w:r>
            <w:r>
              <w:rPr>
                <w:rFonts w:hint="eastAsia" w:ascii="新細明體" w:hAnsi="新細明體" w:eastAsia="新細明體" w:cs="新細明體"/>
                <w:b/>
                <w:u w:val="single"/>
                <w:color w:val="FF0000 "/>
              </w:rPr>
              <w:t>或總經理指派之權責主管</w:t>
            </w:r>
            <w:r>
              <w:rPr>
                <w:rFonts w:hint="eastAsia" w:ascii="新細明體" w:hAnsi="新細明體" w:eastAsia="新細明體" w:cs="新細明體"/>
              </w:rPr>
              <w:t>採取適當措施。</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(3)</w:t>
            </w:r>
            <w:r>
              <w:rPr>
                <w:rFonts w:hint="eastAsia" w:ascii="新細明體" w:hAnsi="新細明體" w:eastAsia="新細明體" w:cs="新細明體"/>
              </w:rPr>
              <w:t>買賣對帳單及前項寄達詢證函如未能寄達及未覆函者是否查明原因並簽報總經理(分公司得為分公司經理人)採取適當措施。</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(4)</w:t>
            </w:r>
            <w:r>
              <w:rPr>
                <w:rFonts w:hint="eastAsia" w:ascii="新細明體" w:hAnsi="新細明體" w:eastAsia="新細明體" w:cs="新細明體"/>
              </w:rPr>
              <w:t>上開寄送與抽查作業是否分由不同部門辦理。</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(4)</w:t>
            </w:r>
            <w:r>
              <w:rPr>
                <w:rFonts w:hint="eastAsia" w:ascii="新細明體" w:hAnsi="新細明體" w:eastAsia="新細明體" w:cs="新細明體"/>
              </w:rPr>
              <w:t>上開寄送與抽查作業是否分由不同部門辦理。</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(5)</w:t>
            </w:r>
            <w:r>
              <w:rPr>
                <w:rFonts w:hint="eastAsia" w:ascii="新細明體" w:hAnsi="新細明體" w:eastAsia="新細明體" w:cs="新細明體"/>
              </w:rPr>
              <w:t>客戶如為專業機構投資人或係透過保管機構（保管銀行）進行款券保管、交易確認及辦理交割者，得免辦理按月對該等客戶月成交金額達新台幣五千萬元以上者之抽樣及詢證作業，餘是否仍依前財政部證券暨期貨管理委員會90年2月13日（90）台財證（二）第102709號函辦理。</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(5)</w:t>
            </w:r>
            <w:r>
              <w:rPr>
                <w:rFonts w:hint="eastAsia" w:ascii="新細明體" w:hAnsi="新細明體" w:eastAsia="新細明體" w:cs="新細明體"/>
              </w:rPr>
              <w:t>客戶如為專業機構投資人或係透過保管機構（保管銀行）進行款券保管、交易確認及辦理交割者，得免辦理按月對該等客戶月成交金額達新台幣五千萬元以上者之抽樣及詢證作業，餘是否仍依前財政部證券暨期貨管理委員會90年2月13日（90）台財證（二）第102709號函辦理。</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5.</w:t>
            </w:r>
            <w:r>
              <w:rPr>
                <w:rFonts w:hint="eastAsia" w:ascii="新細明體" w:hAnsi="新細明體" w:eastAsia="新細明體" w:cs="新細明體"/>
              </w:rPr>
              <w:t>上開對帳單之寄送及詢證地址，是否未以郵政信箱號碼替代，除確為客戶本人之住所外，是否不得為公司、負責人或受僱人之營業處所、住所、電子信箱或郵政信箱，惟如已採取適當確認措施經簽報總經理(分公司得為分公司經理人)</w:t>
            </w:r>
            <w:r>
              <w:rPr>
                <w:rFonts w:hint="eastAsia" w:ascii="新細明體" w:hAnsi="新細明體" w:eastAsia="新細明體" w:cs="新細明體"/>
                <w:b/>
                <w:u w:val="single"/>
                <w:color w:val="FF0000 "/>
              </w:rPr>
              <w:t>或總經理指派之權責主管</w:t>
            </w:r>
            <w:r>
              <w:rPr>
                <w:rFonts w:hint="eastAsia" w:ascii="新細明體" w:hAnsi="新細明體" w:eastAsia="新細明體" w:cs="新細明體"/>
              </w:rPr>
              <w:t>核准，並符合主管機關、證交所或櫃檯買賣中心規定，且無上開公司、負責人或受僱人地址或信箱限制情形者，得依客戶之請求寄至其指定之郵政信箱。</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5.</w:t>
            </w:r>
            <w:r>
              <w:rPr>
                <w:rFonts w:hint="eastAsia" w:ascii="新細明體" w:hAnsi="新細明體" w:eastAsia="新細明體" w:cs="新細明體"/>
              </w:rPr>
              <w:t>上開對帳單之寄送及詢證地址，是否未以郵政信箱號碼替代，除確為客戶本人之住所外，是否不得為公司、負責人或受僱人之營業處所、住所、電子信箱或郵政信箱，惟如已採取適當確認措施經簽報總經理(分公司得為分公司經理人)核准，並符合主管機關、證交所或櫃檯買賣中心規定，且無上開公司、負責人或受僱人地址或信箱限制情形者，得依客戶之請求寄至其指定之郵政信箱。</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6.</w:t>
            </w:r>
            <w:r>
              <w:rPr>
                <w:rFonts w:hint="eastAsia" w:ascii="新細明體" w:hAnsi="新細明體" w:eastAsia="新細明體" w:cs="新細明體"/>
              </w:rPr>
              <w:t>對每月交易金額未達新台幣五千萬元或達五千萬元以上，並取得網路認證機構電子簽章之客戶，以電子郵件方式寄送對帳單者，相關作業程序是否依規定辦理。</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6.</w:t>
            </w:r>
            <w:r>
              <w:rPr>
                <w:rFonts w:hint="eastAsia" w:ascii="新細明體" w:hAnsi="新細明體" w:eastAsia="新細明體" w:cs="新細明體"/>
              </w:rPr>
              <w:t>對每月交易金額未達新台幣五千萬元或達五千萬元以上，並取得網路認證機構電子簽章之客戶，以電子郵件方式寄送對帳單者，相關作業程序是否依規定辦理。</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7.</w:t>
            </w:r>
            <w:r>
              <w:rPr>
                <w:rFonts w:hint="eastAsia" w:ascii="新細明體" w:hAnsi="新細明體" w:eastAsia="新細明體" w:cs="新細明體"/>
              </w:rPr>
              <w:t>透過證交所「資訊交換平台」，以電子檔案方式傳送接收對帳單者，相關作業是否符合規定。</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7.</w:t>
            </w:r>
            <w:r>
              <w:rPr>
                <w:rFonts w:hint="eastAsia" w:ascii="新細明體" w:hAnsi="新細明體" w:eastAsia="新細明體" w:cs="新細明體"/>
              </w:rPr>
              <w:t>透過證交所「資訊交換平台」，以電子檔案方式傳送接收對帳單者，相關作業是否符合規定。</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8.</w:t>
            </w:r>
            <w:r>
              <w:rPr>
                <w:rFonts w:hint="eastAsia" w:ascii="新細明體" w:hAnsi="新細明體" w:eastAsia="新細明體" w:cs="新細明體"/>
              </w:rPr>
              <w:t>辦理對同一客戶於總、分公司委託買賣之對帳單合併列印後交付作業，是否符合規定。</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8.</w:t>
            </w:r>
            <w:r>
              <w:rPr>
                <w:rFonts w:hint="eastAsia" w:ascii="新細明體" w:hAnsi="新細明體" w:eastAsia="新細明體" w:cs="新細明體"/>
              </w:rPr>
              <w:t>辦理對同一客戶於總、分公司委託買賣之對帳單合併列印後交付作業，是否符合規定。</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9.</w:t>
            </w:r>
            <w:r>
              <w:rPr>
                <w:rFonts w:hint="eastAsia" w:ascii="新細明體" w:hAnsi="新細明體" w:eastAsia="新細明體" w:cs="新細明體"/>
              </w:rPr>
              <w:t>客戶如係透過保管機構進行款券保管、交易確認及辦理交割者，公司得以加密電子郵件寄送月對帳單，是否依證交所107年6月12日臺證輔字第1070010772號函之配套機制辦理。</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9.</w:t>
            </w:r>
            <w:r>
              <w:rPr>
                <w:rFonts w:hint="eastAsia" w:ascii="新細明體" w:hAnsi="新細明體" w:eastAsia="新細明體" w:cs="新細明體"/>
              </w:rPr>
              <w:t>客戶如係透過保管機構進行款券保管、交易確認及辦理交割者，公司得以加密電子郵件寄送月對帳單，是否依證交所107年6月12日臺證輔字第1070010772號函之配套機制辦理。</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10.</w:t>
            </w:r>
            <w:r>
              <w:rPr>
                <w:rFonts w:hint="eastAsia" w:ascii="新細明體" w:hAnsi="新細明體" w:eastAsia="新細明體" w:cs="新細明體"/>
              </w:rPr>
              <w:t>公司為期貨交易輔助人或兼營期貨經紀業務，將期貨交易對帳單併入證券交易對帳單一併交付客戶作業，是否符合規定。</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10.</w:t>
            </w:r>
            <w:r>
              <w:rPr>
                <w:rFonts w:hint="eastAsia" w:ascii="新細明體" w:hAnsi="新細明體" w:eastAsia="新細明體" w:cs="新細明體"/>
              </w:rPr>
              <w:t>公司為期貨交易輔助人或兼營期貨經紀業務，將期貨交易對帳單併入證券交易對帳單一併交付客戶作業，是否符合規定。</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120"/>
            </w:pPr>
            <w:r>
              <w:rPr>
                <w:rFonts w:hint="eastAsia" w:ascii="新細明體" w:hAnsi="新細明體" w:eastAsia="新細明體" w:cs="新細明體"/>
              </w:rPr>
              <w:t>11.</w:t>
            </w:r>
            <w:r>
              <w:rPr>
                <w:rFonts w:hint="eastAsia" w:ascii="新細明體" w:hAnsi="新細明體" w:eastAsia="新細明體" w:cs="新細明體"/>
              </w:rPr>
              <w:t>同一客戶於公司買賣海外複委託、債券及結構型商品之對帳單，公司如併同證券及期貨買賣之對帳單合併列印後交付作業，是否符合規定。</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120"/>
            </w:pPr>
            <w:r>
              <w:rPr>
                <w:rFonts w:hint="eastAsia" w:ascii="新細明體" w:hAnsi="新細明體" w:eastAsia="新細明體" w:cs="新細明體"/>
              </w:rPr>
              <w:t>11.</w:t>
            </w:r>
            <w:r>
              <w:rPr>
                <w:rFonts w:hint="eastAsia" w:ascii="新細明體" w:hAnsi="新細明體" w:eastAsia="新細明體" w:cs="新細明體"/>
              </w:rPr>
              <w:t>同一客戶於公司買賣海外複委託、債券及結構型商品之對帳單，公司如併同證券及期貨買賣之對帳單合併列印後交付作業，是否符合規定。</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120"/>
            </w:pPr>
            <w:r>
              <w:rPr>
                <w:rFonts w:hint="eastAsia" w:ascii="新細明體" w:hAnsi="新細明體" w:eastAsia="新細明體" w:cs="新細明體"/>
              </w:rPr>
              <w:t>12.</w:t>
            </w:r>
            <w:r>
              <w:rPr>
                <w:rFonts w:hint="eastAsia" w:ascii="新細明體" w:hAnsi="新細明體" w:eastAsia="新細明體" w:cs="新細明體"/>
              </w:rPr>
              <w:t>公司因特殊情事致無法於每月10日前寄送對帳單時，是否於寄送期限40日前採適當方式通知客戶，並逐次就原因、通知客戶之方式及展延期限等函報證交所備查，且展延期限不得逾次月第10個營業日。</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120"/>
            </w:pPr>
            <w:r>
              <w:rPr>
                <w:rFonts w:hint="eastAsia" w:ascii="新細明體" w:hAnsi="新細明體" w:eastAsia="新細明體" w:cs="新細明體"/>
              </w:rPr>
              <w:t>12.</w:t>
            </w:r>
            <w:r>
              <w:rPr>
                <w:rFonts w:hint="eastAsia" w:ascii="新細明體" w:hAnsi="新細明體" w:eastAsia="新細明體" w:cs="新細明體"/>
              </w:rPr>
              <w:t>公司因特殊情事致無法於每月10日前寄送對帳單時，是否於寄送期限40日前採適當方式通知客戶，並逐次就原因、通知客戶之方式及展延期限等函報證交所備查，且展延期限不得逾次月第10個營業日。</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165"/>
            </w:pPr>
            <w:r>
              <w:rPr>
                <w:rFonts w:hint="eastAsia" w:ascii="新細明體" w:hAnsi="新細明體" w:eastAsia="新細明體" w:cs="新細明體"/>
              </w:rPr>
              <w:t>(六)</w:t>
            </w:r>
            <w:r>
              <w:rPr>
                <w:rFonts w:hint="eastAsia" w:ascii="新細明體" w:hAnsi="新細明體" w:eastAsia="新細明體" w:cs="新細明體"/>
              </w:rPr>
              <w:t>非本人交易帳戶清查作業：</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165"/>
            </w:pPr>
            <w:r>
              <w:rPr>
                <w:rFonts w:hint="eastAsia" w:ascii="新細明體" w:hAnsi="新細明體" w:eastAsia="新細明體" w:cs="新細明體"/>
              </w:rPr>
              <w:t>(六)</w:t>
            </w:r>
            <w:r>
              <w:rPr>
                <w:rFonts w:hint="eastAsia" w:ascii="新細明體" w:hAnsi="新細明體" w:eastAsia="新細明體" w:cs="新細明體"/>
              </w:rPr>
              <w:t>非本人交易帳戶清查作業：</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1.</w:t>
            </w:r>
            <w:r>
              <w:rPr>
                <w:rFonts w:hint="eastAsia" w:ascii="新細明體" w:hAnsi="新細明體" w:eastAsia="新細明體" w:cs="新細明體"/>
              </w:rPr>
              <w:t>非本人交易帳戶是否定期清查。(按月對每月成交金額達一千萬以上者均需列入抽查，向戶籍地址寄發當月份買賣對帳單﹝自然人客戶若已經公司採適當確認措施，例如客戶本人親自申請且經公司照相或錄影存證者，對帳單得依客戶之請求寄至其指定地址﹞及詢證信函。但客戶如係法人客戶或透過保管機構﹝保管銀行﹞進行款券保管、交易確認及辦理交割者，得免辦理上開抽樣及詢證作業)。</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1.</w:t>
            </w:r>
            <w:r>
              <w:rPr>
                <w:rFonts w:hint="eastAsia" w:ascii="新細明體" w:hAnsi="新細明體" w:eastAsia="新細明體" w:cs="新細明體"/>
              </w:rPr>
              <w:t>非本人交易帳戶是否定期清查。(按月對每月成交金額達一千萬以上者均需列入抽查，向戶籍地址寄發當月份買賣對帳單﹝自然人客戶若已經公司採適當確認措施，例如客戶本人親自申請且經公司照相或錄影存證者，對帳單得依客戶之請求寄至其指定地址﹞及詢證信函。但客戶如係法人客戶或透過保管機構﹝保管銀行﹞進行款券保管、交易確認及辦理交割者，得免辦理上開抽樣及詢證作業)。</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2.</w:t>
            </w:r>
            <w:r>
              <w:rPr>
                <w:rFonts w:hint="eastAsia" w:ascii="新細明體" w:hAnsi="新細明體" w:eastAsia="新細明體" w:cs="新細明體"/>
              </w:rPr>
              <w:t>冒用開戶買賣者，是否立即註銷帳戶、主動移送法辦及將查處結果函報證交所及櫃檯買賣中心備查。</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2.</w:t>
            </w:r>
            <w:r>
              <w:rPr>
                <w:rFonts w:hint="eastAsia" w:ascii="新細明體" w:hAnsi="新細明體" w:eastAsia="新細明體" w:cs="新細明體"/>
              </w:rPr>
              <w:t>冒用開戶買賣者，是否立即註銷帳戶、主動移送法辦及將查處結果函報證交所及櫃檯買賣中心備查。</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3.</w:t>
            </w:r>
            <w:r>
              <w:rPr>
                <w:rFonts w:hint="eastAsia" w:ascii="新細明體" w:hAnsi="新細明體" w:eastAsia="新細明體" w:cs="新細明體"/>
              </w:rPr>
              <w:t>公司如已建立網路認證機制，並取得網路認證機構電子簽章之非本人交易帳戶之自然人客戶本人同意後，以手機簡訊寄送對帳單及詢證信函者，其訊息內容、申請程序、寄送方式是否依112年5月4日臺證輔字第1120007082號函規定辦理。</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3.</w:t>
            </w:r>
            <w:r>
              <w:rPr>
                <w:rFonts w:hint="eastAsia" w:ascii="新細明體" w:hAnsi="新細明體" w:eastAsia="新細明體" w:cs="新細明體"/>
              </w:rPr>
              <w:t>公司如已建立網路認證機制，並取得網路認證機構電子簽章之非本人交易帳戶之自然人客戶本人同意後，以手機簡訊寄送對帳單及詢證信函者，其訊息內容、申請程序、寄送方式是否依112年5月4日臺證輔字第1120007082號函規定辦理。</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165"/>
            </w:pPr>
            <w:r>
              <w:rPr>
                <w:rFonts w:hint="eastAsia" w:ascii="新細明體" w:hAnsi="新細明體" w:eastAsia="新細明體" w:cs="新細明體"/>
              </w:rPr>
              <w:t>(七)</w:t>
            </w:r>
            <w:r>
              <w:rPr>
                <w:rFonts w:hint="eastAsia" w:ascii="新細明體" w:hAnsi="新細明體" w:eastAsia="新細明體" w:cs="新細明體"/>
              </w:rPr>
              <w:t>對帳單印發作業採委外方式處理規範：</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165"/>
            </w:pPr>
            <w:r>
              <w:rPr>
                <w:rFonts w:hint="eastAsia" w:ascii="新細明體" w:hAnsi="新細明體" w:eastAsia="新細明體" w:cs="新細明體"/>
              </w:rPr>
              <w:t>(七)</w:t>
            </w:r>
            <w:r>
              <w:rPr>
                <w:rFonts w:hint="eastAsia" w:ascii="新細明體" w:hAnsi="新細明體" w:eastAsia="新細明體" w:cs="新細明體"/>
              </w:rPr>
              <w:t>對帳單印發作業採委外方式處理規範：</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1.</w:t>
            </w:r>
            <w:r>
              <w:rPr>
                <w:rFonts w:hint="eastAsia" w:ascii="新細明體" w:hAnsi="新細明體" w:eastAsia="新細明體" w:cs="新細明體"/>
              </w:rPr>
              <w:t>客戶對帳單委外處理時，是否簽訂契約，並不得違反證券交易法、個人資料保護法及其他相關法令之規定。</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1.</w:t>
            </w:r>
            <w:r>
              <w:rPr>
                <w:rFonts w:hint="eastAsia" w:ascii="新細明體" w:hAnsi="新細明體" w:eastAsia="新細明體" w:cs="新細明體"/>
              </w:rPr>
              <w:t>客戶對帳單委外處理時，是否簽訂契約，並不得違反證券交易法、個人資料保護法及其他相關法令之規定。</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2.</w:t>
            </w:r>
            <w:r>
              <w:rPr>
                <w:rFonts w:hint="eastAsia" w:ascii="新細明體" w:hAnsi="新細明體" w:eastAsia="新細明體" w:cs="新細明體"/>
              </w:rPr>
              <w:t>客戶對帳單委外處理時，是否指定專人與受託機構人員依相關法令辦理安全維護工作，且需定期與不定期稽核，並留存紀錄以供查核。</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2.</w:t>
            </w:r>
            <w:r>
              <w:rPr>
                <w:rFonts w:hint="eastAsia" w:ascii="新細明體" w:hAnsi="新細明體" w:eastAsia="新細明體" w:cs="新細明體"/>
              </w:rPr>
              <w:t>客戶對帳單委外處理時，是否指定專人與受託機構人員依相關法令辦理安全維護工作，且需定期與不定期稽核，並留存紀錄以供查核。</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3.</w:t>
            </w:r>
            <w:r>
              <w:rPr>
                <w:rFonts w:hint="eastAsia" w:ascii="新細明體" w:hAnsi="新細明體" w:eastAsia="新細明體" w:cs="新細明體"/>
              </w:rPr>
              <w:t>客戶對帳單委外處理時，對帳單資料是否加密，如採用連線作業，是否另加強防火牆功能及傳輸安全措施；資料列印時是否隱藏部分帳號或其他足資識別該個人之資料。</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3.</w:t>
            </w:r>
            <w:r>
              <w:rPr>
                <w:rFonts w:hint="eastAsia" w:ascii="新細明體" w:hAnsi="新細明體" w:eastAsia="新細明體" w:cs="新細明體"/>
              </w:rPr>
              <w:t>客戶對帳單委外處理時，對帳單資料是否加密，如採用連線作業，是否另加強防火牆功能及傳輸安全措施；資料列印時是否隱藏部分帳號或其他足資識別該個人之資料。</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4.</w:t>
            </w:r>
            <w:r>
              <w:rPr>
                <w:rFonts w:hint="eastAsia" w:ascii="新細明體" w:hAnsi="新細明體" w:eastAsia="新細明體" w:cs="新細明體"/>
              </w:rPr>
              <w:t>客戶對帳單委外處理是否作緊急應變計畫及安排。</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4.</w:t>
            </w:r>
            <w:r>
              <w:rPr>
                <w:rFonts w:hint="eastAsia" w:ascii="新細明體" w:hAnsi="新細明體" w:eastAsia="新細明體" w:cs="新細明體"/>
              </w:rPr>
              <w:t>客戶對帳單委外處理是否作緊急應變計畫及安排。</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5.</w:t>
            </w:r>
            <w:r>
              <w:rPr>
                <w:rFonts w:hint="eastAsia" w:ascii="新細明體" w:hAnsi="新細明體" w:eastAsia="新細明體" w:cs="新細明體"/>
              </w:rPr>
              <w:t>客戶對帳單委外處理是否設置協調處理機制，以處理糾紛及受理客戶之申訴。</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5.</w:t>
            </w:r>
            <w:r>
              <w:rPr>
                <w:rFonts w:hint="eastAsia" w:ascii="新細明體" w:hAnsi="新細明體" w:eastAsia="新細明體" w:cs="新細明體"/>
              </w:rPr>
              <w:t>客戶對帳單委外處理是否設置協調處理機制，以處理糾紛及受理客戶之申訴。</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6.</w:t>
            </w:r>
            <w:r>
              <w:rPr>
                <w:rFonts w:hint="eastAsia" w:ascii="新細明體" w:hAnsi="新細明體" w:eastAsia="新細明體" w:cs="新細明體"/>
              </w:rPr>
              <w:t>公司對帳單印發作業委外是否慎選受託機構，且須確認係受託機構合法得辦理之營業項目。</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6.</w:t>
            </w:r>
            <w:r>
              <w:rPr>
                <w:rFonts w:hint="eastAsia" w:ascii="新細明體" w:hAnsi="新細明體" w:eastAsia="新細明體" w:cs="新細明體"/>
              </w:rPr>
              <w:t>公司對帳單印發作業委外是否慎選受託機構，且須確認係受託機構合法得辦理之營業項目。</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7.</w:t>
            </w:r>
            <w:r>
              <w:rPr>
                <w:rFonts w:hint="eastAsia" w:ascii="新細明體" w:hAnsi="新細明體" w:eastAsia="新細明體" w:cs="新細明體"/>
              </w:rPr>
              <w:t>對帳單印發作業採委外方式處理者，是否於開戶契約簽訂時訂定告知客戶之條款；其未訂有告知條款者，公司是否書面通知客戶委外事項，並明定客戶於接獲公司通知未於一定合理期間以書面表示反對者，視為同意。</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7.</w:t>
            </w:r>
            <w:r>
              <w:rPr>
                <w:rFonts w:hint="eastAsia" w:ascii="新細明體" w:hAnsi="新細明體" w:eastAsia="新細明體" w:cs="新細明體"/>
              </w:rPr>
              <w:t>對帳單印發作業採委外方式處理者，是否於開戶契約簽訂時訂定告知客戶之條款；其未訂有告知條款者，公司是否書面通知客戶委外事項，並明定客戶於接獲公司通知未於一定合理期間以書面表示反對者，視為同意。</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8.</w:t>
            </w:r>
            <w:r>
              <w:rPr>
                <w:rFonts w:hint="eastAsia" w:ascii="新細明體" w:hAnsi="新細明體" w:eastAsia="新細明體" w:cs="新細明體"/>
              </w:rPr>
              <w:t>對帳單印發作業採委外方式處理者，是否由受託機構親自辦理，不得有複委任之情形。</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8.</w:t>
            </w:r>
            <w:r>
              <w:rPr>
                <w:rFonts w:hint="eastAsia" w:ascii="新細明體" w:hAnsi="新細明體" w:eastAsia="新細明體" w:cs="新細明體"/>
              </w:rPr>
              <w:t>對帳單印發作業採委外方式處理者，是否由受託機構親自辦理，不得有複委任之情形。</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9.</w:t>
            </w:r>
            <w:r>
              <w:rPr>
                <w:rFonts w:hint="eastAsia" w:ascii="新細明體" w:hAnsi="新細明體" w:eastAsia="新細明體" w:cs="新細明體"/>
              </w:rPr>
              <w:t>公司對於對帳單委外處理者之注意程度是否仍與自行從事該項作業相同。公司對帳單委外處理者，其對帳單寄送與查對紀錄之作業是否仍依對帳單寄送與查對紀錄作業及非本人交易帳戶之清查作業等規範辦理。</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9.</w:t>
            </w:r>
            <w:r>
              <w:rPr>
                <w:rFonts w:hint="eastAsia" w:ascii="新細明體" w:hAnsi="新細明體" w:eastAsia="新細明體" w:cs="新細明體"/>
              </w:rPr>
              <w:t>公司對於對帳單委外處理者之注意程度是否仍與自行從事該項作業相同。公司對帳單委外處理者，其對帳單寄送與查對紀錄之作業是否仍依對帳單寄送與查對紀錄作業及非本人交易帳戶之清查作業等規範辦理。</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10.</w:t>
            </w:r>
            <w:r>
              <w:rPr>
                <w:rFonts w:hint="eastAsia" w:ascii="新細明體" w:hAnsi="新細明體" w:eastAsia="新細明體" w:cs="新細明體"/>
              </w:rPr>
              <w:t>受託機構是否同意主管機關、證交所、櫃檯買賣中心及主管機關指定機構為相關查核，並依上開查核單位指示提供書面資料及說明。</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10.</w:t>
            </w:r>
            <w:r>
              <w:rPr>
                <w:rFonts w:hint="eastAsia" w:ascii="新細明體" w:hAnsi="新細明體" w:eastAsia="新細明體" w:cs="新細明體"/>
              </w:rPr>
              <w:t>受託機構是否同意主管機關、證交所、櫃檯買賣中心及主管機關指定機構為相關查核，並依上開查核單位指示提供書面資料及說明。</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4AABF765" w14:textId="77777777">
        <w:tc>
          <w:tcPr>
            <w:tcW w:w="1384" w:type="dxa"/>
            <w:vMerge/>
            <w:tcBorders>
              <w:left w:val="single" w:color="auto" w:sz="12" w:space="0"/>
              <w:bottom w:val="single" w:color="auto" w:sz="12" w:space="0"/>
            </w:tcBorders>
            <w:shd w:val="clear" w:color="auto" w:fill="auto"/>
          </w:tcPr>
          <w:p w:rsidR="003B3105" w:rsidP="001E533B" w:rsidRDefault="003B3105" w14:paraId="0967528F" w14:textId="77777777">
            <w:pPr>
              <w:rPr>
                <w:rFonts w:ascii="新細明體" w:hAnsi="新細明體" w:eastAsia="新細明體"/>
              </w:rPr>
            </w:pPr>
          </w:p>
        </w:tc>
        <w:tc>
          <w:tcPr>
            <w:tcW w:w="1276" w:type="dxa"/>
            <w:vMerge/>
            <w:tcBorders>
              <w:bottom w:val="single" w:color="auto" w:sz="12" w:space="0"/>
            </w:tcBorders>
            <w:shd w:val="clear" w:color="auto" w:fill="auto"/>
          </w:tcPr>
          <w:p w:rsidR="003B3105" w:rsidP="001E533B" w:rsidRDefault="003B3105" w14:paraId="5BD6DB17" w14:textId="77777777">
            <w:pPr>
              <w:rPr>
                <w:rFonts w:ascii="新細明體" w:hAnsi="新細明體" w:eastAsia="新細明體"/>
              </w:rPr>
            </w:pPr>
          </w:p>
        </w:tc>
        <w:tc>
          <w:tcPr>
            <w:tcW w:w="5386" w:type="dxa"/>
            <w:tcBorders>
              <w:top w:val="nil"/>
              <w:bottom w:val="single" w:color="auto" w:sz="12" w:space="0"/>
            </w:tcBorders>
            <w:shd w:val="clear" w:color="auto" w:fill="auto"/>
          </w:tcPr>
          <w:p w:rsidRPr="0068743F" w:rsidR="003B3105" w:rsidP="0027008E" w:rsidRDefault="0027008E" w14:paraId="5C9FE276" w14:textId="126A04A8">
            <w:pPr>
              <w:rPr>
                <w:rFonts w:ascii="新細明體" w:hAnsi="新細明體" w:eastAsia="新細明體" w:cs="新細明體"/>
              </w:rPr>
              <w:ind w:leftChars="165" w:hangingChars="120"/>
            </w:pPr>
            <w:r>
              <w:rPr>
                <w:rFonts w:hint="eastAsia" w:ascii="新細明體" w:hAnsi="新細明體" w:eastAsia="新細明體" w:cs="新細明體"/>
              </w:rPr>
              <w:t>11.</w:t>
            </w:r>
            <w:r>
              <w:rPr>
                <w:rFonts w:hint="eastAsia" w:ascii="新細明體" w:hAnsi="新細明體" w:eastAsia="新細明體" w:cs="新細明體"/>
              </w:rPr>
              <w:t>公司委任受託機構處理客戶對帳單時，契約中所列事項是否符合有關規範。</w:t>
            </w:r>
          </w:p>
        </w:tc>
        <w:tc>
          <w:tcPr>
            <w:tcW w:w="5387" w:type="dxa"/>
            <w:tcBorders>
              <w:top w:val="nil"/>
              <w:bottom w:val="single" w:color="auto" w:sz="12" w:space="0"/>
            </w:tcBorders>
            <w:shd w:val="clear" w:color="auto" w:fill="auto"/>
          </w:tcPr>
          <w:p w:rsidRPr="00F6439B" w:rsidR="003B3105" w:rsidP="0027008E" w:rsidRDefault="0027008E" w14:paraId="7CBFB24A" w14:textId="08415A0E">
            <w:pPr>
              <w:spacing w:line="360" w:lineRule="exact"/>
              <w:rPr>
                <w:rFonts w:ascii="新細明體" w:hAnsi="新細明體" w:eastAsia="新細明體" w:cs="新細明體"/>
              </w:rPr>
              <w:ind w:leftChars="165" w:hangingChars="120"/>
            </w:pPr>
            <w:r>
              <w:rPr>
                <w:rFonts w:hint="eastAsia" w:ascii="新細明體" w:hAnsi="新細明體" w:eastAsia="新細明體" w:cs="新細明體"/>
              </w:rPr>
              <w:t>11.</w:t>
            </w:r>
            <w:r>
              <w:rPr>
                <w:rFonts w:hint="eastAsia" w:ascii="新細明體" w:hAnsi="新細明體" w:eastAsia="新細明體" w:cs="新細明體"/>
              </w:rPr>
              <w:t>公司委任受託機構處理客戶對帳單時，契約中所列事項是否符合有關規範。</w:t>
            </w:r>
          </w:p>
        </w:tc>
        <w:tc>
          <w:tcPr>
            <w:tcW w:w="2023" w:type="dxa"/>
            <w:vMerge/>
            <w:tcBorders>
              <w:bottom w:val="single" w:color="auto" w:sz="12" w:space="0"/>
              <w:right w:val="single" w:color="auto" w:sz="12" w:space="0"/>
            </w:tcBorders>
            <w:shd w:val="clear" w:color="auto" w:fill="auto"/>
          </w:tcPr>
          <w:p w:rsidR="003B3105" w:rsidP="003B3105" w:rsidRDefault="003B3105" w14:paraId="6127B086" w14:textId="77777777">
            <w:pPr>
              <w:spacing w:line="360" w:lineRule="exact"/>
              <w:ind w:left="28" w:right="28"/>
              <w:rPr>
                <w:rFonts w:ascii="新細明體" w:hAnsi="新細明體" w:eastAsia="新細明體" w:cs="Times New Roman"/>
                <w:color w:val="FF0000"/>
                <w:spacing w:val="20"/>
                <w:szCs w:val="20"/>
                <w:u w:val="single"/>
              </w:rPr>
            </w:pPr>
          </w:p>
        </w:tc>
      </w:tr>
    </w:tbl>
    <w:p w:rsidRPr="00FB3CAF" w:rsidR="00E87601" w:rsidRDefault="00E87601" w14:paraId="16C7968A" w14:textId="77777777">
      <w:pPr>
        <w:spacing w:line="360" w:lineRule="exact"/>
        <w:rPr>
          <w:rFonts w:ascii="新細明體" w:hAnsi="新細明體" w:eastAsia="新細明體" w:cs="Times New Roman"/>
        </w:rPr>
      </w:pPr>
    </w:p>
    <w:sectPr w:rsidRPr="00FB3CAF" w:rsidR="00E87601" w:rsidSect="00A24FFC">
      <w:pgSz w:w="16840" w:h="11907" w:orient="landscape" w:code="9"/>
      <w:pgMar w:top="720" w:right="720" w:bottom="720" w:left="720" w:header="851" w:footer="851"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E6E663" w14:textId="77777777" w:rsidR="00826565" w:rsidRDefault="00826565" w:rsidP="00E87601">
      <w:pPr>
        <w:spacing w:line="240" w:lineRule="auto"/>
      </w:pPr>
      <w:r>
        <w:separator/>
      </w:r>
    </w:p>
  </w:endnote>
  <w:endnote w:type="continuationSeparator" w:id="0">
    <w:p w14:paraId="17F39202" w14:textId="77777777" w:rsidR="00826565" w:rsidRDefault="00826565" w:rsidP="00E8760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18CBB9" w14:textId="77777777" w:rsidR="00826565" w:rsidRDefault="00826565" w:rsidP="00E87601">
      <w:pPr>
        <w:spacing w:line="240" w:lineRule="auto"/>
      </w:pPr>
      <w:r>
        <w:separator/>
      </w:r>
    </w:p>
  </w:footnote>
  <w:footnote w:type="continuationSeparator" w:id="0">
    <w:p w14:paraId="3D53C64B" w14:textId="77777777" w:rsidR="00826565" w:rsidRDefault="00826565" w:rsidP="00E8760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A718B"/>
    <w:multiLevelType w:val="multilevel"/>
    <w:tmpl w:val="508CA08A"/>
    <w:lvl w:ilvl="0">
      <w:start w:val="1"/>
      <w:numFmt w:val="taiwaneseCountingThousand"/>
      <w:lvlText w:val="（%1）"/>
      <w:lvlJc w:val="left"/>
      <w:pPr>
        <w:tabs>
          <w:tab w:val="num" w:pos="2672"/>
        </w:tabs>
        <w:ind w:left="2672" w:hanging="840"/>
      </w:pPr>
      <w:rPr>
        <w:rFonts w:cs="Times New Roman" w:hint="eastAsia"/>
      </w:rPr>
    </w:lvl>
    <w:lvl w:ilvl="1">
      <w:start w:val="1"/>
      <w:numFmt w:val="ideographTraditional"/>
      <w:lvlText w:val="%2、"/>
      <w:lvlJc w:val="left"/>
      <w:pPr>
        <w:tabs>
          <w:tab w:val="num" w:pos="2792"/>
        </w:tabs>
        <w:ind w:left="2792" w:hanging="480"/>
      </w:pPr>
      <w:rPr>
        <w:rFonts w:cs="Times New Roman"/>
      </w:rPr>
    </w:lvl>
    <w:lvl w:ilvl="2">
      <w:start w:val="1"/>
      <w:numFmt w:val="lowerRoman"/>
      <w:lvlText w:val="%3."/>
      <w:lvlJc w:val="right"/>
      <w:pPr>
        <w:tabs>
          <w:tab w:val="num" w:pos="3272"/>
        </w:tabs>
        <w:ind w:left="3272" w:hanging="480"/>
      </w:pPr>
      <w:rPr>
        <w:rFonts w:cs="Times New Roman"/>
      </w:rPr>
    </w:lvl>
    <w:lvl w:ilvl="3">
      <w:start w:val="1"/>
      <w:numFmt w:val="decimal"/>
      <w:lvlText w:val="%4."/>
      <w:lvlJc w:val="left"/>
      <w:pPr>
        <w:tabs>
          <w:tab w:val="num" w:pos="3752"/>
        </w:tabs>
        <w:ind w:left="3752" w:hanging="480"/>
      </w:pPr>
      <w:rPr>
        <w:rFonts w:cs="Times New Roman"/>
      </w:rPr>
    </w:lvl>
    <w:lvl w:ilvl="4">
      <w:start w:val="1"/>
      <w:numFmt w:val="ideographTraditional"/>
      <w:lvlText w:val="%5、"/>
      <w:lvlJc w:val="left"/>
      <w:pPr>
        <w:tabs>
          <w:tab w:val="num" w:pos="4232"/>
        </w:tabs>
        <w:ind w:left="4232" w:hanging="480"/>
      </w:pPr>
      <w:rPr>
        <w:rFonts w:cs="Times New Roman"/>
      </w:rPr>
    </w:lvl>
    <w:lvl w:ilvl="5">
      <w:start w:val="1"/>
      <w:numFmt w:val="lowerRoman"/>
      <w:lvlText w:val="%6."/>
      <w:lvlJc w:val="right"/>
      <w:pPr>
        <w:tabs>
          <w:tab w:val="num" w:pos="4712"/>
        </w:tabs>
        <w:ind w:left="4712" w:hanging="480"/>
      </w:pPr>
      <w:rPr>
        <w:rFonts w:cs="Times New Roman"/>
      </w:rPr>
    </w:lvl>
    <w:lvl w:ilvl="6">
      <w:start w:val="1"/>
      <w:numFmt w:val="decimal"/>
      <w:lvlText w:val="%7."/>
      <w:lvlJc w:val="left"/>
      <w:pPr>
        <w:tabs>
          <w:tab w:val="num" w:pos="5192"/>
        </w:tabs>
        <w:ind w:left="5192" w:hanging="480"/>
      </w:pPr>
      <w:rPr>
        <w:rFonts w:cs="Times New Roman"/>
      </w:rPr>
    </w:lvl>
    <w:lvl w:ilvl="7">
      <w:start w:val="1"/>
      <w:numFmt w:val="ideographTraditional"/>
      <w:lvlText w:val="%8、"/>
      <w:lvlJc w:val="left"/>
      <w:pPr>
        <w:tabs>
          <w:tab w:val="num" w:pos="5672"/>
        </w:tabs>
        <w:ind w:left="5672" w:hanging="480"/>
      </w:pPr>
      <w:rPr>
        <w:rFonts w:cs="Times New Roman"/>
      </w:rPr>
    </w:lvl>
    <w:lvl w:ilvl="8">
      <w:start w:val="1"/>
      <w:numFmt w:val="lowerRoman"/>
      <w:lvlText w:val="%9."/>
      <w:lvlJc w:val="right"/>
      <w:pPr>
        <w:tabs>
          <w:tab w:val="num" w:pos="6152"/>
        </w:tabs>
        <w:ind w:left="6152" w:hanging="480"/>
      </w:pPr>
      <w:rPr>
        <w:rFonts w:cs="Times New Roman"/>
      </w:rPr>
    </w:lvl>
  </w:abstractNum>
  <w:abstractNum w:abstractNumId="1" w15:restartNumberingAfterBreak="0">
    <w:nsid w:val="10DB4ADC"/>
    <w:multiLevelType w:val="singleLevel"/>
    <w:tmpl w:val="17EC2A1C"/>
    <w:lvl w:ilvl="0">
      <w:start w:val="1"/>
      <w:numFmt w:val="taiwaneseCountingThousand"/>
      <w:lvlText w:val="（%1）"/>
      <w:lvlJc w:val="left"/>
      <w:pPr>
        <w:tabs>
          <w:tab w:val="num" w:pos="904"/>
        </w:tabs>
        <w:ind w:left="904" w:hanging="876"/>
      </w:pPr>
      <w:rPr>
        <w:rFonts w:cs="Times New Roman" w:hint="eastAsia"/>
      </w:rPr>
    </w:lvl>
  </w:abstractNum>
  <w:abstractNum w:abstractNumId="2" w15:restartNumberingAfterBreak="0">
    <w:nsid w:val="122D758D"/>
    <w:multiLevelType w:val="singleLevel"/>
    <w:tmpl w:val="D83E8314"/>
    <w:lvl w:ilvl="0">
      <w:start w:val="1"/>
      <w:numFmt w:val="decimal"/>
      <w:lvlText w:val="%1."/>
      <w:lvlJc w:val="left"/>
      <w:pPr>
        <w:tabs>
          <w:tab w:val="num" w:pos="1007"/>
        </w:tabs>
        <w:ind w:left="1007" w:hanging="195"/>
      </w:pPr>
      <w:rPr>
        <w:rFonts w:ascii="新細明體" w:eastAsia="新細明體" w:cs="Times New Roman" w:hint="eastAsia"/>
        <w:color w:val="FF0000"/>
        <w:u w:val="single"/>
      </w:rPr>
    </w:lvl>
  </w:abstractNum>
  <w:abstractNum w:abstractNumId="3" w15:restartNumberingAfterBreak="0">
    <w:nsid w:val="136E18A7"/>
    <w:multiLevelType w:val="singleLevel"/>
    <w:tmpl w:val="F2BEE7CE"/>
    <w:lvl w:ilvl="0">
      <w:start w:val="1"/>
      <w:numFmt w:val="decimal"/>
      <w:lvlText w:val="%1."/>
      <w:lvlJc w:val="left"/>
      <w:pPr>
        <w:tabs>
          <w:tab w:val="num" w:pos="747"/>
        </w:tabs>
        <w:ind w:left="747" w:hanging="195"/>
      </w:pPr>
      <w:rPr>
        <w:rFonts w:cs="Times New Roman" w:hint="eastAsia"/>
      </w:rPr>
    </w:lvl>
  </w:abstractNum>
  <w:abstractNum w:abstractNumId="4" w15:restartNumberingAfterBreak="0">
    <w:nsid w:val="16975A5D"/>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5" w15:restartNumberingAfterBreak="0">
    <w:nsid w:val="22B5442D"/>
    <w:multiLevelType w:val="singleLevel"/>
    <w:tmpl w:val="89702BA4"/>
    <w:lvl w:ilvl="0">
      <w:start w:val="1"/>
      <w:numFmt w:val="decimal"/>
      <w:lvlText w:val="%1."/>
      <w:lvlJc w:val="left"/>
      <w:pPr>
        <w:tabs>
          <w:tab w:val="num" w:pos="1084"/>
        </w:tabs>
        <w:ind w:left="1084" w:hanging="384"/>
      </w:pPr>
      <w:rPr>
        <w:rFonts w:ascii="新細明體" w:eastAsia="新細明體" w:cs="Times New Roman" w:hint="eastAsia"/>
      </w:rPr>
    </w:lvl>
  </w:abstractNum>
  <w:abstractNum w:abstractNumId="6" w15:restartNumberingAfterBreak="0">
    <w:nsid w:val="32EA67CF"/>
    <w:multiLevelType w:val="singleLevel"/>
    <w:tmpl w:val="60E831F0"/>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7" w15:restartNumberingAfterBreak="0">
    <w:nsid w:val="3A41225B"/>
    <w:multiLevelType w:val="singleLevel"/>
    <w:tmpl w:val="5A4EFA4E"/>
    <w:lvl w:ilvl="0">
      <w:start w:val="1"/>
      <w:numFmt w:val="decimal"/>
      <w:lvlText w:val="%1."/>
      <w:lvlJc w:val="left"/>
      <w:pPr>
        <w:tabs>
          <w:tab w:val="num" w:pos="1108"/>
        </w:tabs>
        <w:ind w:left="1108" w:hanging="405"/>
      </w:pPr>
      <w:rPr>
        <w:rFonts w:cs="Times New Roman" w:hint="eastAsia"/>
      </w:rPr>
    </w:lvl>
  </w:abstractNum>
  <w:abstractNum w:abstractNumId="8" w15:restartNumberingAfterBreak="0">
    <w:nsid w:val="41CC78C5"/>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9" w15:restartNumberingAfterBreak="0">
    <w:nsid w:val="52D33297"/>
    <w:multiLevelType w:val="singleLevel"/>
    <w:tmpl w:val="FAEE3386"/>
    <w:lvl w:ilvl="0">
      <w:start w:val="1"/>
      <w:numFmt w:val="decimal"/>
      <w:lvlText w:val="%1."/>
      <w:lvlJc w:val="left"/>
      <w:pPr>
        <w:tabs>
          <w:tab w:val="num" w:pos="877"/>
        </w:tabs>
        <w:ind w:left="877" w:hanging="195"/>
      </w:pPr>
      <w:rPr>
        <w:rFonts w:cs="Times New Roman" w:hint="eastAsia"/>
      </w:rPr>
    </w:lvl>
  </w:abstractNum>
  <w:abstractNum w:abstractNumId="10" w15:restartNumberingAfterBreak="0">
    <w:nsid w:val="5F307CEC"/>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11" w15:restartNumberingAfterBreak="0">
    <w:nsid w:val="649E48F8"/>
    <w:multiLevelType w:val="multilevel"/>
    <w:tmpl w:val="64882E9C"/>
    <w:lvl w:ilvl="0">
      <w:start w:val="1"/>
      <w:numFmt w:val="taiwaneseCountingThousand"/>
      <w:suff w:val="nothing"/>
      <w:lvlText w:val="%1、"/>
      <w:lvlJc w:val="left"/>
      <w:pPr>
        <w:ind w:left="425" w:hanging="425"/>
      </w:pPr>
      <w:rPr>
        <w:rFonts w:cs="Times New Roman" w:hint="eastAsia"/>
      </w:rPr>
    </w:lvl>
    <w:lvl w:ilvl="1">
      <w:start w:val="1"/>
      <w:numFmt w:val="taiwaneseCountingThousand"/>
      <w:suff w:val="nothing"/>
      <w:lvlText w:val="(%2)"/>
      <w:lvlJc w:val="left"/>
      <w:pPr>
        <w:ind w:left="737" w:hanging="453"/>
      </w:pPr>
      <w:rPr>
        <w:rFonts w:cs="Times New Roman" w:hint="eastAsia"/>
      </w:rPr>
    </w:lvl>
    <w:lvl w:ilvl="2">
      <w:start w:val="1"/>
      <w:numFmt w:val="taiwaneseCountingThousand"/>
      <w:suff w:val="nothing"/>
      <w:lvlText w:val="第%3項"/>
      <w:lvlJc w:val="left"/>
      <w:pPr>
        <w:ind w:left="1418" w:hanging="567"/>
      </w:pPr>
      <w:rPr>
        <w:rFonts w:cs="Times New Roman" w:hint="eastAsia"/>
      </w:rPr>
    </w:lvl>
    <w:lvl w:ilvl="3">
      <w:start w:val="1"/>
      <w:numFmt w:val="none"/>
      <w:suff w:val="nothing"/>
      <w:lvlText w:val=""/>
      <w:lvlJc w:val="left"/>
      <w:pPr>
        <w:ind w:left="1984" w:hanging="708"/>
      </w:pPr>
      <w:rPr>
        <w:rFonts w:cs="Times New Roman" w:hint="eastAsia"/>
      </w:rPr>
    </w:lvl>
    <w:lvl w:ilvl="4">
      <w:start w:val="1"/>
      <w:numFmt w:val="none"/>
      <w:suff w:val="nothing"/>
      <w:lvlText w:val=""/>
      <w:lvlJc w:val="left"/>
      <w:pPr>
        <w:ind w:left="2551" w:hanging="850"/>
      </w:pPr>
      <w:rPr>
        <w:rFonts w:cs="Times New Roman" w:hint="eastAsia"/>
      </w:rPr>
    </w:lvl>
    <w:lvl w:ilvl="5">
      <w:start w:val="1"/>
      <w:numFmt w:val="none"/>
      <w:suff w:val="nothing"/>
      <w:lvlText w:val=""/>
      <w:lvlJc w:val="left"/>
      <w:pPr>
        <w:ind w:left="3260" w:hanging="1134"/>
      </w:pPr>
      <w:rPr>
        <w:rFonts w:cs="Times New Roman" w:hint="eastAsia"/>
      </w:rPr>
    </w:lvl>
    <w:lvl w:ilvl="6">
      <w:start w:val="1"/>
      <w:numFmt w:val="none"/>
      <w:suff w:val="nothing"/>
      <w:lvlText w:val=""/>
      <w:lvlJc w:val="left"/>
      <w:pPr>
        <w:ind w:left="3827" w:hanging="1276"/>
      </w:pPr>
      <w:rPr>
        <w:rFonts w:cs="Times New Roman" w:hint="eastAsia"/>
      </w:rPr>
    </w:lvl>
    <w:lvl w:ilvl="7">
      <w:start w:val="1"/>
      <w:numFmt w:val="none"/>
      <w:suff w:val="nothing"/>
      <w:lvlText w:val=""/>
      <w:lvlJc w:val="left"/>
      <w:pPr>
        <w:ind w:left="4394" w:hanging="1418"/>
      </w:pPr>
      <w:rPr>
        <w:rFonts w:cs="Times New Roman" w:hint="eastAsia"/>
      </w:rPr>
    </w:lvl>
    <w:lvl w:ilvl="8">
      <w:start w:val="1"/>
      <w:numFmt w:val="none"/>
      <w:suff w:val="nothing"/>
      <w:lvlText w:val=""/>
      <w:lvlJc w:val="left"/>
      <w:pPr>
        <w:ind w:left="5102" w:hanging="1700"/>
      </w:pPr>
      <w:rPr>
        <w:rFonts w:cs="Times New Roman" w:hint="eastAsia"/>
      </w:rPr>
    </w:lvl>
  </w:abstractNum>
  <w:abstractNum w:abstractNumId="12" w15:restartNumberingAfterBreak="0">
    <w:nsid w:val="661C7F9F"/>
    <w:multiLevelType w:val="singleLevel"/>
    <w:tmpl w:val="9A8A353E"/>
    <w:lvl w:ilvl="0">
      <w:start w:val="1"/>
      <w:numFmt w:val="taiwaneseCountingThousand"/>
      <w:lvlText w:val="（%1）"/>
      <w:lvlJc w:val="left"/>
      <w:pPr>
        <w:tabs>
          <w:tab w:val="num" w:pos="880"/>
        </w:tabs>
        <w:ind w:left="880" w:hanging="852"/>
      </w:pPr>
      <w:rPr>
        <w:rFonts w:cs="Times New Roman" w:hint="eastAsia"/>
      </w:rPr>
    </w:lvl>
  </w:abstractNum>
  <w:abstractNum w:abstractNumId="13" w15:restartNumberingAfterBreak="0">
    <w:nsid w:val="697D3FA8"/>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4" w15:restartNumberingAfterBreak="0">
    <w:nsid w:val="6A1E3F23"/>
    <w:multiLevelType w:val="singleLevel"/>
    <w:tmpl w:val="D64468C4"/>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15" w15:restartNumberingAfterBreak="0">
    <w:nsid w:val="6D1B63E2"/>
    <w:multiLevelType w:val="multilevel"/>
    <w:tmpl w:val="288627EA"/>
    <w:lvl w:ilvl="0">
      <w:start w:val="1"/>
      <w:numFmt w:val="taiwaneseCountingThousand"/>
      <w:lvlText w:val="(%1)"/>
      <w:lvlJc w:val="left"/>
      <w:pPr>
        <w:tabs>
          <w:tab w:val="num" w:pos="920"/>
        </w:tabs>
        <w:ind w:left="920" w:hanging="444"/>
      </w:pPr>
      <w:rPr>
        <w:rFonts w:cs="Times New Roman" w:hint="eastAsia"/>
      </w:rPr>
    </w:lvl>
    <w:lvl w:ilvl="1">
      <w:start w:val="1"/>
      <w:numFmt w:val="ideographTraditional"/>
      <w:lvlText w:val="%2、"/>
      <w:lvlJc w:val="left"/>
      <w:pPr>
        <w:tabs>
          <w:tab w:val="num" w:pos="960"/>
        </w:tabs>
        <w:ind w:left="960" w:hanging="480"/>
      </w:pPr>
      <w:rPr>
        <w:rFonts w:cs="Times New Roman"/>
      </w:rPr>
    </w:lvl>
    <w:lvl w:ilvl="2">
      <w:start w:val="1"/>
      <w:numFmt w:val="lowerRoman"/>
      <w:lvlText w:val="%3."/>
      <w:lvlJc w:val="right"/>
      <w:pPr>
        <w:tabs>
          <w:tab w:val="num" w:pos="1440"/>
        </w:tabs>
        <w:ind w:left="1440" w:hanging="480"/>
      </w:pPr>
      <w:rPr>
        <w:rFonts w:cs="Times New Roman"/>
      </w:rPr>
    </w:lvl>
    <w:lvl w:ilvl="3">
      <w:start w:val="1"/>
      <w:numFmt w:val="decimal"/>
      <w:lvlText w:val="%4."/>
      <w:lvlJc w:val="left"/>
      <w:pPr>
        <w:tabs>
          <w:tab w:val="num" w:pos="1920"/>
        </w:tabs>
        <w:ind w:left="1920" w:hanging="480"/>
      </w:pPr>
      <w:rPr>
        <w:rFonts w:cs="Times New Roman"/>
      </w:rPr>
    </w:lvl>
    <w:lvl w:ilvl="4">
      <w:start w:val="1"/>
      <w:numFmt w:val="ideographTraditional"/>
      <w:lvlText w:val="%5、"/>
      <w:lvlJc w:val="left"/>
      <w:pPr>
        <w:tabs>
          <w:tab w:val="num" w:pos="2400"/>
        </w:tabs>
        <w:ind w:left="2400" w:hanging="480"/>
      </w:pPr>
      <w:rPr>
        <w:rFonts w:cs="Times New Roman"/>
      </w:rPr>
    </w:lvl>
    <w:lvl w:ilvl="5">
      <w:start w:val="1"/>
      <w:numFmt w:val="lowerRoman"/>
      <w:lvlText w:val="%6."/>
      <w:lvlJc w:val="right"/>
      <w:pPr>
        <w:tabs>
          <w:tab w:val="num" w:pos="2880"/>
        </w:tabs>
        <w:ind w:left="2880" w:hanging="480"/>
      </w:pPr>
      <w:rPr>
        <w:rFonts w:cs="Times New Roman"/>
      </w:rPr>
    </w:lvl>
    <w:lvl w:ilvl="6">
      <w:start w:val="1"/>
      <w:numFmt w:val="decimal"/>
      <w:lvlText w:val="%7."/>
      <w:lvlJc w:val="left"/>
      <w:pPr>
        <w:tabs>
          <w:tab w:val="num" w:pos="3360"/>
        </w:tabs>
        <w:ind w:left="3360" w:hanging="480"/>
      </w:pPr>
      <w:rPr>
        <w:rFonts w:cs="Times New Roman"/>
      </w:rPr>
    </w:lvl>
    <w:lvl w:ilvl="7">
      <w:start w:val="1"/>
      <w:numFmt w:val="ideographTraditional"/>
      <w:lvlText w:val="%8、"/>
      <w:lvlJc w:val="left"/>
      <w:pPr>
        <w:tabs>
          <w:tab w:val="num" w:pos="3840"/>
        </w:tabs>
        <w:ind w:left="3840" w:hanging="480"/>
      </w:pPr>
      <w:rPr>
        <w:rFonts w:cs="Times New Roman"/>
      </w:rPr>
    </w:lvl>
    <w:lvl w:ilvl="8">
      <w:start w:val="1"/>
      <w:numFmt w:val="lowerRoman"/>
      <w:lvlText w:val="%9."/>
      <w:lvlJc w:val="right"/>
      <w:pPr>
        <w:tabs>
          <w:tab w:val="num" w:pos="4320"/>
        </w:tabs>
        <w:ind w:left="4320" w:hanging="480"/>
      </w:pPr>
      <w:rPr>
        <w:rFonts w:cs="Times New Roman"/>
      </w:rPr>
    </w:lvl>
  </w:abstractNum>
  <w:abstractNum w:abstractNumId="16" w15:restartNumberingAfterBreak="0">
    <w:nsid w:val="6E487ECB"/>
    <w:multiLevelType w:val="singleLevel"/>
    <w:tmpl w:val="F230B57A"/>
    <w:lvl w:ilvl="0">
      <w:start w:val="1"/>
      <w:numFmt w:val="taiwaneseCountingThousand"/>
      <w:lvlText w:val="（%1）"/>
      <w:lvlJc w:val="left"/>
      <w:pPr>
        <w:tabs>
          <w:tab w:val="num" w:pos="796"/>
        </w:tabs>
        <w:ind w:left="796" w:hanging="768"/>
      </w:pPr>
      <w:rPr>
        <w:rFonts w:cs="Times New Roman" w:hint="eastAsia"/>
        <w:color w:val="auto"/>
      </w:rPr>
    </w:lvl>
  </w:abstractNum>
  <w:abstractNum w:abstractNumId="17" w15:restartNumberingAfterBreak="0">
    <w:nsid w:val="72822C94"/>
    <w:multiLevelType w:val="singleLevel"/>
    <w:tmpl w:val="BAB2CAD2"/>
    <w:lvl w:ilvl="0">
      <w:start w:val="1"/>
      <w:numFmt w:val="taiwaneseCountingThousand"/>
      <w:lvlText w:val="%1、"/>
      <w:lvlJc w:val="left"/>
      <w:pPr>
        <w:tabs>
          <w:tab w:val="num" w:pos="604"/>
        </w:tabs>
        <w:ind w:left="604" w:hanging="576"/>
      </w:pPr>
      <w:rPr>
        <w:rFonts w:cs="Times New Roman" w:hint="eastAsia"/>
      </w:rPr>
    </w:lvl>
  </w:abstractNum>
  <w:abstractNum w:abstractNumId="18" w15:restartNumberingAfterBreak="0">
    <w:nsid w:val="760272F7"/>
    <w:multiLevelType w:val="singleLevel"/>
    <w:tmpl w:val="7EA040BA"/>
    <w:lvl w:ilvl="0">
      <w:start w:val="1"/>
      <w:numFmt w:val="taiwaneseCountingThousand"/>
      <w:lvlText w:val="（%1）"/>
      <w:lvlJc w:val="left"/>
      <w:pPr>
        <w:tabs>
          <w:tab w:val="num" w:pos="780"/>
        </w:tabs>
        <w:ind w:left="780" w:hanging="780"/>
      </w:pPr>
      <w:rPr>
        <w:rFonts w:cs="Times New Roman" w:hint="eastAsia"/>
      </w:rPr>
    </w:lvl>
  </w:abstractNum>
  <w:abstractNum w:abstractNumId="19" w15:restartNumberingAfterBreak="0">
    <w:nsid w:val="7E166BE2"/>
    <w:multiLevelType w:val="multilevel"/>
    <w:tmpl w:val="878A2996"/>
    <w:lvl w:ilvl="0">
      <w:start w:val="1"/>
      <w:numFmt w:val="decimal"/>
      <w:lvlText w:val="(%1)"/>
      <w:lvlJc w:val="left"/>
      <w:pPr>
        <w:tabs>
          <w:tab w:val="num" w:pos="937"/>
        </w:tabs>
        <w:ind w:left="937" w:hanging="360"/>
      </w:pPr>
      <w:rPr>
        <w:rFonts w:cs="Times New Roman" w:hint="eastAsia"/>
      </w:rPr>
    </w:lvl>
    <w:lvl w:ilvl="1">
      <w:start w:val="1"/>
      <w:numFmt w:val="ideographTraditional"/>
      <w:lvlText w:val="%2、"/>
      <w:lvlJc w:val="left"/>
      <w:pPr>
        <w:tabs>
          <w:tab w:val="num" w:pos="1537"/>
        </w:tabs>
        <w:ind w:left="1537" w:hanging="480"/>
      </w:pPr>
      <w:rPr>
        <w:rFonts w:cs="Times New Roman"/>
      </w:rPr>
    </w:lvl>
    <w:lvl w:ilvl="2">
      <w:start w:val="1"/>
      <w:numFmt w:val="lowerRoman"/>
      <w:lvlText w:val="%3."/>
      <w:lvlJc w:val="right"/>
      <w:pPr>
        <w:tabs>
          <w:tab w:val="num" w:pos="2017"/>
        </w:tabs>
        <w:ind w:left="2017" w:hanging="480"/>
      </w:pPr>
      <w:rPr>
        <w:rFonts w:cs="Times New Roman"/>
      </w:rPr>
    </w:lvl>
    <w:lvl w:ilvl="3">
      <w:start w:val="1"/>
      <w:numFmt w:val="decimal"/>
      <w:lvlText w:val="%4."/>
      <w:lvlJc w:val="left"/>
      <w:pPr>
        <w:tabs>
          <w:tab w:val="num" w:pos="2497"/>
        </w:tabs>
        <w:ind w:left="2497" w:hanging="480"/>
      </w:pPr>
      <w:rPr>
        <w:rFonts w:cs="Times New Roman"/>
      </w:rPr>
    </w:lvl>
    <w:lvl w:ilvl="4">
      <w:start w:val="1"/>
      <w:numFmt w:val="ideographTraditional"/>
      <w:lvlText w:val="%5、"/>
      <w:lvlJc w:val="left"/>
      <w:pPr>
        <w:tabs>
          <w:tab w:val="num" w:pos="2977"/>
        </w:tabs>
        <w:ind w:left="2977" w:hanging="480"/>
      </w:pPr>
      <w:rPr>
        <w:rFonts w:cs="Times New Roman"/>
      </w:rPr>
    </w:lvl>
    <w:lvl w:ilvl="5">
      <w:start w:val="1"/>
      <w:numFmt w:val="lowerRoman"/>
      <w:lvlText w:val="%6."/>
      <w:lvlJc w:val="right"/>
      <w:pPr>
        <w:tabs>
          <w:tab w:val="num" w:pos="3457"/>
        </w:tabs>
        <w:ind w:left="3457" w:hanging="480"/>
      </w:pPr>
      <w:rPr>
        <w:rFonts w:cs="Times New Roman"/>
      </w:rPr>
    </w:lvl>
    <w:lvl w:ilvl="6">
      <w:start w:val="1"/>
      <w:numFmt w:val="decimal"/>
      <w:lvlText w:val="%7."/>
      <w:lvlJc w:val="left"/>
      <w:pPr>
        <w:tabs>
          <w:tab w:val="num" w:pos="3937"/>
        </w:tabs>
        <w:ind w:left="3937" w:hanging="480"/>
      </w:pPr>
      <w:rPr>
        <w:rFonts w:cs="Times New Roman"/>
      </w:rPr>
    </w:lvl>
    <w:lvl w:ilvl="7">
      <w:start w:val="1"/>
      <w:numFmt w:val="ideographTraditional"/>
      <w:lvlText w:val="%8、"/>
      <w:lvlJc w:val="left"/>
      <w:pPr>
        <w:tabs>
          <w:tab w:val="num" w:pos="4417"/>
        </w:tabs>
        <w:ind w:left="4417" w:hanging="480"/>
      </w:pPr>
      <w:rPr>
        <w:rFonts w:cs="Times New Roman"/>
      </w:rPr>
    </w:lvl>
    <w:lvl w:ilvl="8">
      <w:start w:val="1"/>
      <w:numFmt w:val="lowerRoman"/>
      <w:lvlText w:val="%9."/>
      <w:lvlJc w:val="right"/>
      <w:pPr>
        <w:tabs>
          <w:tab w:val="num" w:pos="4897"/>
        </w:tabs>
        <w:ind w:left="4897" w:hanging="480"/>
      </w:pPr>
      <w:rPr>
        <w:rFonts w:cs="Times New Roman"/>
      </w:rPr>
    </w:lvl>
  </w:abstractNum>
  <w:num w:numId="1" w16cid:durableId="1523323179">
    <w:abstractNumId w:val="8"/>
  </w:num>
  <w:num w:numId="2" w16cid:durableId="1449201050">
    <w:abstractNumId w:val="7"/>
  </w:num>
  <w:num w:numId="3" w16cid:durableId="208347645">
    <w:abstractNumId w:val="13"/>
  </w:num>
  <w:num w:numId="4" w16cid:durableId="209802461">
    <w:abstractNumId w:val="0"/>
  </w:num>
  <w:num w:numId="5" w16cid:durableId="1591350893">
    <w:abstractNumId w:val="11"/>
  </w:num>
  <w:num w:numId="6" w16cid:durableId="63066765">
    <w:abstractNumId w:val="2"/>
  </w:num>
  <w:num w:numId="7" w16cid:durableId="959992081">
    <w:abstractNumId w:val="4"/>
  </w:num>
  <w:num w:numId="8" w16cid:durableId="1154642517">
    <w:abstractNumId w:val="12"/>
  </w:num>
  <w:num w:numId="9" w16cid:durableId="2021077672">
    <w:abstractNumId w:val="16"/>
  </w:num>
  <w:num w:numId="10" w16cid:durableId="384792474">
    <w:abstractNumId w:val="5"/>
  </w:num>
  <w:num w:numId="11" w16cid:durableId="567425463">
    <w:abstractNumId w:val="17"/>
  </w:num>
  <w:num w:numId="12" w16cid:durableId="1531991681">
    <w:abstractNumId w:val="6"/>
  </w:num>
  <w:num w:numId="13" w16cid:durableId="1421877709">
    <w:abstractNumId w:val="1"/>
  </w:num>
  <w:num w:numId="14" w16cid:durableId="2089618171">
    <w:abstractNumId w:val="14"/>
  </w:num>
  <w:num w:numId="15" w16cid:durableId="2024432474">
    <w:abstractNumId w:val="15"/>
  </w:num>
  <w:num w:numId="16" w16cid:durableId="990906787">
    <w:abstractNumId w:val="19"/>
  </w:num>
  <w:num w:numId="17" w16cid:durableId="1963223195">
    <w:abstractNumId w:val="18"/>
  </w:num>
  <w:num w:numId="18" w16cid:durableId="1351878485">
    <w:abstractNumId w:val="9"/>
  </w:num>
  <w:num w:numId="19" w16cid:durableId="7486041">
    <w:abstractNumId w:val="3"/>
  </w:num>
  <w:num w:numId="20" w16cid:durableId="57003930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proofState w:spelling="clean" w:grammar="clean"/>
  <w:doNotTrackMoves/>
  <w:defaultTabStop w:val="480"/>
  <w:doNotHyphenateCaps/>
  <w:drawingGridHorizontalSpacing w:val="130"/>
  <w:displayHorizontalDrawingGridEvery w:val="0"/>
  <w:displayVerticalDrawingGridEvery w:val="2"/>
  <w:characterSpacingControl w:val="compressPunctuation"/>
  <w:noLineBreaksAfter w:lang="zh-TW" w:val="([{£¥‘“‵〈《「『【〔〝︵︷︹︻︽︿﹁﹃﹙﹛﹝（｛"/>
  <w:noLineBreaksBefore w:lang="zh-TW" w:val="!),.:;?]}¢·–—’”•‥…‧′╴、。〉》」』】〕〞︰︱︳︴︶︸︺︼︾﹀﹂﹄﹏﹐﹑﹒﹔﹕﹖﹗﹚﹜﹞！），．：；？｜｝､"/>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87601"/>
    <w:rsid w:val="000220A3"/>
    <w:rsid w:val="0003737B"/>
    <w:rsid w:val="0006487C"/>
    <w:rsid w:val="00081A5A"/>
    <w:rsid w:val="000852F4"/>
    <w:rsid w:val="000E2E57"/>
    <w:rsid w:val="001132A5"/>
    <w:rsid w:val="00115946"/>
    <w:rsid w:val="00155D75"/>
    <w:rsid w:val="001643B7"/>
    <w:rsid w:val="00164EC3"/>
    <w:rsid w:val="001812B0"/>
    <w:rsid w:val="001C0745"/>
    <w:rsid w:val="001E533B"/>
    <w:rsid w:val="00200AE8"/>
    <w:rsid w:val="00216524"/>
    <w:rsid w:val="00216A6E"/>
    <w:rsid w:val="002300E4"/>
    <w:rsid w:val="0025567C"/>
    <w:rsid w:val="0027008E"/>
    <w:rsid w:val="002B6B5B"/>
    <w:rsid w:val="002B7B8A"/>
    <w:rsid w:val="002D3036"/>
    <w:rsid w:val="002D3AE3"/>
    <w:rsid w:val="0030176E"/>
    <w:rsid w:val="0030391B"/>
    <w:rsid w:val="003042D6"/>
    <w:rsid w:val="0031289E"/>
    <w:rsid w:val="00320C3C"/>
    <w:rsid w:val="0032634F"/>
    <w:rsid w:val="00354E9A"/>
    <w:rsid w:val="00360CA1"/>
    <w:rsid w:val="003757E9"/>
    <w:rsid w:val="003948F0"/>
    <w:rsid w:val="003B3105"/>
    <w:rsid w:val="003B5A2D"/>
    <w:rsid w:val="003B7480"/>
    <w:rsid w:val="003B7771"/>
    <w:rsid w:val="003C4C66"/>
    <w:rsid w:val="00402508"/>
    <w:rsid w:val="0043298E"/>
    <w:rsid w:val="004331D4"/>
    <w:rsid w:val="004542BC"/>
    <w:rsid w:val="00456B35"/>
    <w:rsid w:val="00460ACD"/>
    <w:rsid w:val="00463342"/>
    <w:rsid w:val="0048793B"/>
    <w:rsid w:val="004A1319"/>
    <w:rsid w:val="004A29F0"/>
    <w:rsid w:val="004B19C0"/>
    <w:rsid w:val="004C3BE1"/>
    <w:rsid w:val="004E3C0D"/>
    <w:rsid w:val="00531E93"/>
    <w:rsid w:val="005352D5"/>
    <w:rsid w:val="005404DE"/>
    <w:rsid w:val="005716CE"/>
    <w:rsid w:val="0057303B"/>
    <w:rsid w:val="00587858"/>
    <w:rsid w:val="00590586"/>
    <w:rsid w:val="005A67E0"/>
    <w:rsid w:val="005B5700"/>
    <w:rsid w:val="005D293B"/>
    <w:rsid w:val="005E48B0"/>
    <w:rsid w:val="005E77C1"/>
    <w:rsid w:val="0061624E"/>
    <w:rsid w:val="00622D10"/>
    <w:rsid w:val="00651DC4"/>
    <w:rsid w:val="00667311"/>
    <w:rsid w:val="006736A2"/>
    <w:rsid w:val="00677A71"/>
    <w:rsid w:val="006862FE"/>
    <w:rsid w:val="0068743F"/>
    <w:rsid w:val="006906B7"/>
    <w:rsid w:val="006C109E"/>
    <w:rsid w:val="006E7D9E"/>
    <w:rsid w:val="00731EBA"/>
    <w:rsid w:val="0073748C"/>
    <w:rsid w:val="007631C0"/>
    <w:rsid w:val="007772E0"/>
    <w:rsid w:val="00787829"/>
    <w:rsid w:val="00797F9C"/>
    <w:rsid w:val="007A7FE5"/>
    <w:rsid w:val="007C280B"/>
    <w:rsid w:val="007C39F2"/>
    <w:rsid w:val="007D05DD"/>
    <w:rsid w:val="007E1E63"/>
    <w:rsid w:val="00820A8B"/>
    <w:rsid w:val="00826565"/>
    <w:rsid w:val="00894FE6"/>
    <w:rsid w:val="008F01FF"/>
    <w:rsid w:val="008F7C66"/>
    <w:rsid w:val="009017D2"/>
    <w:rsid w:val="00910034"/>
    <w:rsid w:val="009149AD"/>
    <w:rsid w:val="009210DF"/>
    <w:rsid w:val="00927933"/>
    <w:rsid w:val="00955B62"/>
    <w:rsid w:val="00970E02"/>
    <w:rsid w:val="00973423"/>
    <w:rsid w:val="00977DDF"/>
    <w:rsid w:val="009805CF"/>
    <w:rsid w:val="009C3809"/>
    <w:rsid w:val="009C653F"/>
    <w:rsid w:val="009E5975"/>
    <w:rsid w:val="009F093C"/>
    <w:rsid w:val="00A10FAE"/>
    <w:rsid w:val="00A24FFC"/>
    <w:rsid w:val="00A327CE"/>
    <w:rsid w:val="00A505EE"/>
    <w:rsid w:val="00A5751A"/>
    <w:rsid w:val="00A669C2"/>
    <w:rsid w:val="00A7490F"/>
    <w:rsid w:val="00A943E4"/>
    <w:rsid w:val="00AD1920"/>
    <w:rsid w:val="00AD7183"/>
    <w:rsid w:val="00B24B03"/>
    <w:rsid w:val="00B80849"/>
    <w:rsid w:val="00B85495"/>
    <w:rsid w:val="00BA3B85"/>
    <w:rsid w:val="00BD0555"/>
    <w:rsid w:val="00BD0E46"/>
    <w:rsid w:val="00BE1F83"/>
    <w:rsid w:val="00BF247F"/>
    <w:rsid w:val="00C26683"/>
    <w:rsid w:val="00C34F36"/>
    <w:rsid w:val="00C43033"/>
    <w:rsid w:val="00C6790C"/>
    <w:rsid w:val="00C85E8F"/>
    <w:rsid w:val="00C904D3"/>
    <w:rsid w:val="00CA515A"/>
    <w:rsid w:val="00CC593E"/>
    <w:rsid w:val="00CD0699"/>
    <w:rsid w:val="00CE4D28"/>
    <w:rsid w:val="00CE53D7"/>
    <w:rsid w:val="00CE74B4"/>
    <w:rsid w:val="00D03B05"/>
    <w:rsid w:val="00D10A56"/>
    <w:rsid w:val="00D25C08"/>
    <w:rsid w:val="00D348F3"/>
    <w:rsid w:val="00D73498"/>
    <w:rsid w:val="00D93714"/>
    <w:rsid w:val="00DB54C8"/>
    <w:rsid w:val="00DB54EE"/>
    <w:rsid w:val="00DC16C9"/>
    <w:rsid w:val="00E055DE"/>
    <w:rsid w:val="00E17EAE"/>
    <w:rsid w:val="00E35783"/>
    <w:rsid w:val="00E520A8"/>
    <w:rsid w:val="00E6151B"/>
    <w:rsid w:val="00E8068F"/>
    <w:rsid w:val="00E87601"/>
    <w:rsid w:val="00EA2E15"/>
    <w:rsid w:val="00EB3A71"/>
    <w:rsid w:val="00EF791F"/>
    <w:rsid w:val="00F02C37"/>
    <w:rsid w:val="00F2266B"/>
    <w:rsid w:val="00F237EE"/>
    <w:rsid w:val="00F247E4"/>
    <w:rsid w:val="00F35FDD"/>
    <w:rsid w:val="00F56FAD"/>
    <w:rsid w:val="00F6439B"/>
    <w:rsid w:val="00F86396"/>
    <w:rsid w:val="00FA5967"/>
    <w:rsid w:val="00FA7BF5"/>
    <w:rsid w:val="00FB3CAF"/>
    <w:rsid w:val="00FD5445"/>
    <w:rsid w:val="00FE0FC0"/>
    <w:rsid w:val="00FE6622"/>
    <w:rsid w:val="00FF65E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0E67795"/>
  <w15:chartTrackingRefBased/>
  <w15:docId w15:val="{69DD0655-20AA-4718-9CC8-9D7D56B45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lsdException w:name="Body Text Indent 3" w:semiHidden="1"/>
    <w:lsdException w:name="Block Text" w:semiHidden="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napToGrid w:val="0"/>
      <w:spacing w:line="360" w:lineRule="atLeast"/>
      <w:jc w:val="both"/>
    </w:pPr>
    <w:rPr>
      <w:rFonts w:ascii="標楷體" w:eastAsia="標楷體" w:hAnsi="Times New Roman" w:cs="標楷體"/>
      <w:spacing w:val="10"/>
      <w:kern w:val="2"/>
      <w:sz w:val="24"/>
      <w:szCs w:val="24"/>
    </w:rPr>
  </w:style>
  <w:style w:type="paragraph" w:styleId="1">
    <w:name w:val="heading 1"/>
    <w:basedOn w:val="a"/>
    <w:next w:val="a"/>
    <w:link w:val="10"/>
    <w:uiPriority w:val="99"/>
    <w:qFormat/>
    <w:pPr>
      <w:spacing w:after="120"/>
      <w:jc w:val="center"/>
      <w:outlineLvl w:val="0"/>
    </w:pPr>
    <w:rPr>
      <w:rFonts w:hAnsi="Arial"/>
      <w:b/>
      <w:bCs/>
      <w:kern w:val="52"/>
      <w:sz w:val="36"/>
      <w:szCs w:val="36"/>
    </w:rPr>
  </w:style>
  <w:style w:type="paragraph" w:styleId="2">
    <w:name w:val="heading 2"/>
    <w:basedOn w:val="a"/>
    <w:next w:val="a"/>
    <w:link w:val="20"/>
    <w:uiPriority w:val="99"/>
    <w:qFormat/>
    <w:pPr>
      <w:keepNext/>
      <w:spacing w:line="720" w:lineRule="auto"/>
      <w:outlineLvl w:val="1"/>
    </w:pPr>
    <w:rPr>
      <w:rFonts w:ascii="Arial" w:hAnsi="Arial" w:cs="Arial"/>
      <w:b/>
      <w:bCs/>
      <w:sz w:val="48"/>
      <w:szCs w:val="48"/>
    </w:rPr>
  </w:style>
  <w:style w:type="paragraph" w:styleId="3">
    <w:name w:val="heading 3"/>
    <w:basedOn w:val="a"/>
    <w:next w:val="a"/>
    <w:link w:val="30"/>
    <w:uiPriority w:val="99"/>
    <w:qFormat/>
    <w:pPr>
      <w:keepNext/>
      <w:spacing w:line="720" w:lineRule="auto"/>
      <w:outlineLvl w:val="2"/>
    </w:pPr>
    <w:rPr>
      <w:rFonts w:ascii="Arial" w:hAnsi="Arial" w:cs="Arial"/>
      <w:b/>
      <w:bCs/>
      <w:sz w:val="36"/>
      <w:szCs w:val="36"/>
    </w:rPr>
  </w:style>
  <w:style w:type="paragraph" w:styleId="4">
    <w:name w:val="heading 4"/>
    <w:basedOn w:val="a"/>
    <w:next w:val="a0"/>
    <w:link w:val="40"/>
    <w:uiPriority w:val="99"/>
    <w:qFormat/>
    <w:pPr>
      <w:keepNext/>
      <w:adjustRightInd w:val="0"/>
      <w:snapToGrid/>
      <w:spacing w:line="720" w:lineRule="atLeast"/>
      <w:jc w:val="left"/>
      <w:textAlignment w:val="baseline"/>
      <w:outlineLvl w:val="3"/>
    </w:pPr>
    <w:rPr>
      <w:rFonts w:ascii="Arial" w:eastAsia="新細明體" w:hAnsi="Arial" w:cs="Arial"/>
      <w:spacing w:val="0"/>
      <w:kern w:val="0"/>
      <w:sz w:val="36"/>
      <w:szCs w:val="36"/>
    </w:rPr>
  </w:style>
  <w:style w:type="paragraph" w:styleId="5">
    <w:name w:val="heading 5"/>
    <w:basedOn w:val="a"/>
    <w:next w:val="a0"/>
    <w:link w:val="50"/>
    <w:uiPriority w:val="99"/>
    <w:qFormat/>
    <w:pPr>
      <w:keepNext/>
      <w:adjustRightInd w:val="0"/>
      <w:snapToGrid/>
      <w:spacing w:line="720" w:lineRule="atLeast"/>
      <w:jc w:val="left"/>
      <w:textAlignment w:val="baseline"/>
      <w:outlineLvl w:val="4"/>
    </w:pPr>
    <w:rPr>
      <w:rFonts w:ascii="Arial" w:eastAsia="新細明體" w:hAnsi="Arial" w:cs="Arial"/>
      <w:b/>
      <w:bCs/>
      <w:spacing w:val="0"/>
      <w:kern w:val="0"/>
      <w:sz w:val="36"/>
      <w:szCs w:val="36"/>
    </w:rPr>
  </w:style>
  <w:style w:type="paragraph" w:styleId="6">
    <w:name w:val="heading 6"/>
    <w:basedOn w:val="a"/>
    <w:next w:val="a0"/>
    <w:link w:val="60"/>
    <w:uiPriority w:val="99"/>
    <w:qFormat/>
    <w:pPr>
      <w:keepNext/>
      <w:adjustRightInd w:val="0"/>
      <w:snapToGrid/>
      <w:spacing w:line="720" w:lineRule="atLeast"/>
      <w:jc w:val="left"/>
      <w:textAlignment w:val="baseline"/>
      <w:outlineLvl w:val="5"/>
    </w:pPr>
    <w:rPr>
      <w:rFonts w:ascii="Arial" w:eastAsia="新細明體" w:hAnsi="Arial" w:cs="Arial"/>
      <w:spacing w:val="0"/>
      <w:kern w:val="0"/>
      <w:sz w:val="36"/>
      <w:szCs w:val="36"/>
    </w:rPr>
  </w:style>
  <w:style w:type="paragraph" w:styleId="7">
    <w:name w:val="heading 7"/>
    <w:basedOn w:val="a"/>
    <w:next w:val="a0"/>
    <w:link w:val="70"/>
    <w:uiPriority w:val="99"/>
    <w:qFormat/>
    <w:pPr>
      <w:keepNext/>
      <w:adjustRightInd w:val="0"/>
      <w:snapToGrid/>
      <w:spacing w:line="720" w:lineRule="atLeast"/>
      <w:jc w:val="left"/>
      <w:textAlignment w:val="baseline"/>
      <w:outlineLvl w:val="6"/>
    </w:pPr>
    <w:rPr>
      <w:rFonts w:ascii="Arial" w:eastAsia="新細明體" w:hAnsi="Arial" w:cs="Arial"/>
      <w:b/>
      <w:bCs/>
      <w:spacing w:val="0"/>
      <w:kern w:val="0"/>
      <w:sz w:val="36"/>
      <w:szCs w:val="36"/>
    </w:rPr>
  </w:style>
  <w:style w:type="paragraph" w:styleId="8">
    <w:name w:val="heading 8"/>
    <w:basedOn w:val="a"/>
    <w:next w:val="a0"/>
    <w:link w:val="80"/>
    <w:uiPriority w:val="99"/>
    <w:qFormat/>
    <w:pPr>
      <w:keepNext/>
      <w:adjustRightInd w:val="0"/>
      <w:snapToGrid/>
      <w:spacing w:line="720" w:lineRule="atLeast"/>
      <w:jc w:val="left"/>
      <w:textAlignment w:val="baseline"/>
      <w:outlineLvl w:val="7"/>
    </w:pPr>
    <w:rPr>
      <w:rFonts w:ascii="Arial" w:eastAsia="新細明體" w:hAnsi="Arial" w:cs="Arial"/>
      <w:spacing w:val="0"/>
      <w:kern w:val="0"/>
      <w:sz w:val="36"/>
      <w:szCs w:val="36"/>
    </w:rPr>
  </w:style>
  <w:style w:type="paragraph" w:styleId="9">
    <w:name w:val="heading 9"/>
    <w:basedOn w:val="a"/>
    <w:next w:val="a0"/>
    <w:link w:val="90"/>
    <w:uiPriority w:val="99"/>
    <w:qFormat/>
    <w:pPr>
      <w:keepNext/>
      <w:adjustRightInd w:val="0"/>
      <w:snapToGrid/>
      <w:spacing w:line="720" w:lineRule="atLeast"/>
      <w:jc w:val="left"/>
      <w:textAlignment w:val="baseline"/>
      <w:outlineLvl w:val="8"/>
    </w:pPr>
    <w:rPr>
      <w:rFonts w:ascii="Arial" w:eastAsia="新細明體" w:hAnsi="Arial" w:cs="Arial"/>
      <w:spacing w:val="0"/>
      <w:kern w:val="0"/>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link w:val="1"/>
    <w:uiPriority w:val="9"/>
    <w:locked/>
    <w:rPr>
      <w:rFonts w:ascii="Cambria" w:eastAsia="新細明體" w:hAnsi="Cambria" w:cs="Times New Roman"/>
      <w:b/>
      <w:bCs/>
      <w:spacing w:val="10"/>
      <w:kern w:val="52"/>
      <w:sz w:val="52"/>
      <w:szCs w:val="52"/>
    </w:rPr>
  </w:style>
  <w:style w:type="character" w:customStyle="1" w:styleId="20">
    <w:name w:val="標題 2 字元"/>
    <w:link w:val="2"/>
    <w:uiPriority w:val="9"/>
    <w:semiHidden/>
    <w:locked/>
    <w:rPr>
      <w:rFonts w:ascii="Cambria" w:eastAsia="新細明體" w:hAnsi="Cambria" w:cs="Times New Roman"/>
      <w:b/>
      <w:bCs/>
      <w:spacing w:val="10"/>
      <w:sz w:val="48"/>
      <w:szCs w:val="48"/>
    </w:rPr>
  </w:style>
  <w:style w:type="character" w:customStyle="1" w:styleId="30">
    <w:name w:val="標題 3 字元"/>
    <w:link w:val="3"/>
    <w:uiPriority w:val="9"/>
    <w:semiHidden/>
    <w:locked/>
    <w:rPr>
      <w:rFonts w:ascii="Cambria" w:eastAsia="新細明體" w:hAnsi="Cambria" w:cs="Times New Roman"/>
      <w:b/>
      <w:bCs/>
      <w:spacing w:val="10"/>
      <w:sz w:val="36"/>
      <w:szCs w:val="36"/>
    </w:rPr>
  </w:style>
  <w:style w:type="character" w:customStyle="1" w:styleId="40">
    <w:name w:val="標題 4 字元"/>
    <w:link w:val="4"/>
    <w:uiPriority w:val="9"/>
    <w:semiHidden/>
    <w:locked/>
    <w:rPr>
      <w:rFonts w:ascii="Cambria" w:eastAsia="新細明體" w:hAnsi="Cambria" w:cs="Times New Roman"/>
      <w:spacing w:val="10"/>
      <w:sz w:val="36"/>
      <w:szCs w:val="36"/>
    </w:rPr>
  </w:style>
  <w:style w:type="character" w:customStyle="1" w:styleId="50">
    <w:name w:val="標題 5 字元"/>
    <w:link w:val="5"/>
    <w:uiPriority w:val="9"/>
    <w:semiHidden/>
    <w:locked/>
    <w:rPr>
      <w:rFonts w:ascii="Cambria" w:eastAsia="新細明體" w:hAnsi="Cambria" w:cs="Times New Roman"/>
      <w:b/>
      <w:bCs/>
      <w:spacing w:val="10"/>
      <w:sz w:val="36"/>
      <w:szCs w:val="36"/>
    </w:rPr>
  </w:style>
  <w:style w:type="character" w:customStyle="1" w:styleId="60">
    <w:name w:val="標題 6 字元"/>
    <w:link w:val="6"/>
    <w:uiPriority w:val="9"/>
    <w:semiHidden/>
    <w:locked/>
    <w:rPr>
      <w:rFonts w:ascii="Cambria" w:eastAsia="新細明體" w:hAnsi="Cambria" w:cs="Times New Roman"/>
      <w:spacing w:val="10"/>
      <w:sz w:val="36"/>
      <w:szCs w:val="36"/>
    </w:rPr>
  </w:style>
  <w:style w:type="character" w:customStyle="1" w:styleId="70">
    <w:name w:val="標題 7 字元"/>
    <w:link w:val="7"/>
    <w:uiPriority w:val="9"/>
    <w:semiHidden/>
    <w:locked/>
    <w:rPr>
      <w:rFonts w:ascii="Cambria" w:eastAsia="新細明體" w:hAnsi="Cambria" w:cs="Times New Roman"/>
      <w:b/>
      <w:bCs/>
      <w:spacing w:val="10"/>
      <w:sz w:val="36"/>
      <w:szCs w:val="36"/>
    </w:rPr>
  </w:style>
  <w:style w:type="character" w:customStyle="1" w:styleId="80">
    <w:name w:val="標題 8 字元"/>
    <w:link w:val="8"/>
    <w:uiPriority w:val="9"/>
    <w:semiHidden/>
    <w:locked/>
    <w:rPr>
      <w:rFonts w:ascii="Cambria" w:eastAsia="新細明體" w:hAnsi="Cambria" w:cs="Times New Roman"/>
      <w:spacing w:val="10"/>
      <w:sz w:val="36"/>
      <w:szCs w:val="36"/>
    </w:rPr>
  </w:style>
  <w:style w:type="character" w:customStyle="1" w:styleId="90">
    <w:name w:val="標題 9 字元"/>
    <w:link w:val="9"/>
    <w:uiPriority w:val="9"/>
    <w:semiHidden/>
    <w:locked/>
    <w:rPr>
      <w:rFonts w:ascii="Cambria" w:eastAsia="新細明體" w:hAnsi="Cambria" w:cs="Times New Roman"/>
      <w:spacing w:val="10"/>
      <w:sz w:val="36"/>
      <w:szCs w:val="36"/>
    </w:rPr>
  </w:style>
  <w:style w:type="paragraph" w:styleId="a0">
    <w:name w:val="Normal Indent"/>
    <w:basedOn w:val="a"/>
    <w:uiPriority w:val="99"/>
    <w:pPr>
      <w:ind w:left="480"/>
    </w:pPr>
  </w:style>
  <w:style w:type="paragraph" w:styleId="a4">
    <w:name w:val="Block Text"/>
    <w:basedOn w:val="a"/>
    <w:uiPriority w:val="99"/>
    <w:pPr>
      <w:ind w:left="758" w:right="28" w:hanging="730"/>
    </w:pPr>
    <w:rPr>
      <w:rFonts w:ascii="新細明體" w:eastAsia="新細明體" w:cs="新細明體"/>
      <w:spacing w:val="24"/>
    </w:rPr>
  </w:style>
  <w:style w:type="paragraph" w:styleId="21">
    <w:name w:val="Body Text 2"/>
    <w:basedOn w:val="a"/>
    <w:link w:val="22"/>
    <w:uiPriority w:val="99"/>
    <w:pPr>
      <w:spacing w:line="360" w:lineRule="exact"/>
    </w:pPr>
    <w:rPr>
      <w:rFonts w:ascii="新細明體" w:eastAsia="新細明體" w:cs="新細明體"/>
      <w:color w:val="0000FF"/>
      <w:u w:val="single"/>
    </w:rPr>
  </w:style>
  <w:style w:type="character" w:customStyle="1" w:styleId="22">
    <w:name w:val="本文 2 字元"/>
    <w:link w:val="21"/>
    <w:uiPriority w:val="99"/>
    <w:semiHidden/>
    <w:locked/>
    <w:rPr>
      <w:rFonts w:ascii="標楷體" w:eastAsia="標楷體" w:hAnsi="Times New Roman" w:cs="標楷體"/>
      <w:spacing w:val="10"/>
      <w:sz w:val="24"/>
      <w:szCs w:val="24"/>
    </w:rPr>
  </w:style>
  <w:style w:type="paragraph" w:styleId="a5">
    <w:name w:val="Body Text"/>
    <w:basedOn w:val="a"/>
    <w:link w:val="a6"/>
    <w:uiPriority w:val="99"/>
    <w:pPr>
      <w:ind w:right="28"/>
    </w:pPr>
    <w:rPr>
      <w:rFonts w:ascii="新細明體" w:eastAsia="新細明體" w:cs="新細明體"/>
    </w:rPr>
  </w:style>
  <w:style w:type="character" w:customStyle="1" w:styleId="a6">
    <w:name w:val="本文 字元"/>
    <w:link w:val="a5"/>
    <w:uiPriority w:val="99"/>
    <w:semiHidden/>
    <w:locked/>
    <w:rPr>
      <w:rFonts w:ascii="標楷體" w:eastAsia="標楷體" w:hAnsi="Times New Roman" w:cs="標楷體"/>
      <w:spacing w:val="10"/>
      <w:sz w:val="24"/>
      <w:szCs w:val="24"/>
    </w:rPr>
  </w:style>
  <w:style w:type="paragraph" w:styleId="HTML">
    <w:name w:val="HTML Preformatted"/>
    <w:basedOn w:val="a"/>
    <w:link w:val="HTML0"/>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line="240" w:lineRule="auto"/>
      <w:jc w:val="left"/>
    </w:pPr>
    <w:rPr>
      <w:rFonts w:ascii="細明體" w:eastAsia="細明體" w:hAnsi="Courier New" w:cs="細明體"/>
      <w:color w:val="008000"/>
      <w:spacing w:val="0"/>
      <w:kern w:val="0"/>
      <w:sz w:val="20"/>
      <w:szCs w:val="20"/>
    </w:rPr>
  </w:style>
  <w:style w:type="character" w:customStyle="1" w:styleId="HTML0">
    <w:name w:val="HTML 預設格式 字元"/>
    <w:link w:val="HTML"/>
    <w:uiPriority w:val="99"/>
    <w:semiHidden/>
    <w:locked/>
    <w:rPr>
      <w:rFonts w:ascii="Courier New" w:eastAsia="標楷體" w:hAnsi="Courier New" w:cs="Courier New"/>
      <w:spacing w:val="10"/>
      <w:sz w:val="20"/>
      <w:szCs w:val="20"/>
    </w:rPr>
  </w:style>
  <w:style w:type="paragraph" w:styleId="a7">
    <w:name w:val="footer"/>
    <w:basedOn w:val="a"/>
    <w:link w:val="a8"/>
    <w:uiPriority w:val="99"/>
    <w:pPr>
      <w:tabs>
        <w:tab w:val="center" w:pos="4153"/>
        <w:tab w:val="right" w:pos="8306"/>
      </w:tabs>
    </w:pPr>
    <w:rPr>
      <w:sz w:val="20"/>
      <w:szCs w:val="20"/>
    </w:rPr>
  </w:style>
  <w:style w:type="character" w:customStyle="1" w:styleId="a8">
    <w:name w:val="頁尾 字元"/>
    <w:link w:val="a7"/>
    <w:uiPriority w:val="99"/>
    <w:semiHidden/>
    <w:locked/>
    <w:rPr>
      <w:rFonts w:ascii="標楷體" w:eastAsia="標楷體" w:hAnsi="Times New Roman" w:cs="標楷體"/>
      <w:spacing w:val="10"/>
      <w:sz w:val="20"/>
      <w:szCs w:val="20"/>
    </w:rPr>
  </w:style>
  <w:style w:type="character" w:styleId="a9">
    <w:name w:val="page number"/>
    <w:uiPriority w:val="99"/>
    <w:rPr>
      <w:rFonts w:cs="Times New Roman"/>
    </w:rPr>
  </w:style>
  <w:style w:type="paragraph" w:styleId="23">
    <w:name w:val="Body Text Indent 2"/>
    <w:basedOn w:val="a"/>
    <w:link w:val="24"/>
    <w:uiPriority w:val="99"/>
    <w:pPr>
      <w:spacing w:before="240" w:line="288" w:lineRule="auto"/>
      <w:ind w:left="1118" w:hanging="402"/>
    </w:pPr>
    <w:rPr>
      <w:rFonts w:hAnsi="標楷體"/>
      <w:spacing w:val="0"/>
    </w:rPr>
  </w:style>
  <w:style w:type="character" w:customStyle="1" w:styleId="24">
    <w:name w:val="本文縮排 2 字元"/>
    <w:link w:val="23"/>
    <w:uiPriority w:val="99"/>
    <w:semiHidden/>
    <w:locked/>
    <w:rPr>
      <w:rFonts w:ascii="標楷體" w:eastAsia="標楷體" w:hAnsi="Times New Roman" w:cs="標楷體"/>
      <w:spacing w:val="10"/>
      <w:sz w:val="24"/>
      <w:szCs w:val="24"/>
    </w:rPr>
  </w:style>
  <w:style w:type="paragraph" w:styleId="31">
    <w:name w:val="Body Text Indent 3"/>
    <w:basedOn w:val="a"/>
    <w:link w:val="32"/>
    <w:uiPriority w:val="99"/>
    <w:pPr>
      <w:spacing w:line="360" w:lineRule="exact"/>
      <w:ind w:left="862" w:hanging="862"/>
    </w:pPr>
    <w:rPr>
      <w:rFonts w:ascii="新細明體" w:eastAsia="新細明體" w:cs="新細明體"/>
      <w:u w:val="single"/>
    </w:rPr>
  </w:style>
  <w:style w:type="character" w:customStyle="1" w:styleId="32">
    <w:name w:val="本文縮排 3 字元"/>
    <w:link w:val="31"/>
    <w:uiPriority w:val="99"/>
    <w:semiHidden/>
    <w:locked/>
    <w:rPr>
      <w:rFonts w:ascii="標楷體" w:eastAsia="標楷體" w:hAnsi="Times New Roman" w:cs="標楷體"/>
      <w:spacing w:val="10"/>
      <w:sz w:val="16"/>
      <w:szCs w:val="16"/>
    </w:rPr>
  </w:style>
  <w:style w:type="paragraph" w:styleId="aa">
    <w:name w:val="header"/>
    <w:basedOn w:val="a"/>
    <w:link w:val="ab"/>
    <w:uiPriority w:val="99"/>
    <w:pPr>
      <w:tabs>
        <w:tab w:val="center" w:pos="4153"/>
        <w:tab w:val="right" w:pos="8306"/>
      </w:tabs>
    </w:pPr>
    <w:rPr>
      <w:sz w:val="20"/>
      <w:szCs w:val="20"/>
    </w:rPr>
  </w:style>
  <w:style w:type="character" w:customStyle="1" w:styleId="ab">
    <w:name w:val="頁首 字元"/>
    <w:link w:val="aa"/>
    <w:uiPriority w:val="99"/>
    <w:semiHidden/>
    <w:locked/>
    <w:rPr>
      <w:rFonts w:ascii="標楷體" w:eastAsia="標楷體" w:hAnsi="Times New Roman" w:cs="標楷體"/>
      <w:spacing w:val="10"/>
      <w:sz w:val="20"/>
      <w:szCs w:val="20"/>
    </w:rPr>
  </w:style>
  <w:style w:type="table" w:styleId="ac">
    <w:name w:val="Table Grid"/>
    <w:basedOn w:val="a2"/>
    <w:uiPriority w:val="59"/>
    <w:rsid w:val="00A24F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0EADB-4AC3-491B-98F7-B418BE3AA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Pages>
  <Words>15</Words>
  <Characters>87</Characters>
  <Application>Microsoft Office Word</Application>
  <DocSecurity>0</DocSecurity>
  <Lines>1</Lines>
  <Paragraphs>1</Paragraphs>
  <ScaleCrop>false</ScaleCrop>
  <Company>Hewlett-Packard Company</Company>
  <LinksUpToDate>false</LinksUpToDate>
  <CharactersWithSpaces>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證券商內部控制制度標準規範─內部控制制度修訂對照表（97年度）</dc:title>
  <dc:subject/>
  <dc:creator>0753</dc:creator>
  <cp:keywords/>
  <cp:lastModifiedBy>Lawrence, Cheng 程昱偉</cp:lastModifiedBy>
  <cp:revision>14</cp:revision>
  <cp:lastPrinted>2004-03-09T19:20:00Z</cp:lastPrinted>
  <dcterms:created xsi:type="dcterms:W3CDTF">2025-04-18T10:47:00Z</dcterms:created>
  <dcterms:modified xsi:type="dcterms:W3CDTF">2025-12-09T05:52:00Z</dcterms:modified>
</cp:coreProperties>
</file>